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44043" w:rsidRPr="0045016C" w:rsidRDefault="00B44043">
      <w:pPr>
        <w:rPr>
          <w:rFonts w:ascii="Times New Roman" w:hAnsi="Times New Roman" w:cs="Times New Roman"/>
        </w:rPr>
      </w:pPr>
    </w:p>
    <w:p w:rsidR="009300B8" w:rsidRDefault="005150CF" w:rsidP="00D926CA">
      <w:pPr>
        <w:spacing w:line="240" w:lineRule="auto"/>
        <w:jc w:val="center"/>
        <w:rPr>
          <w:rFonts w:ascii="Times New Roman" w:hAnsi="Times New Roman" w:cs="Times New Roman"/>
          <w:b/>
        </w:rPr>
      </w:pPr>
      <w:r w:rsidRPr="0045016C">
        <w:rPr>
          <w:rFonts w:ascii="Times New Roman" w:hAnsi="Times New Roman" w:cs="Times New Roman"/>
          <w:b/>
        </w:rPr>
        <w:t xml:space="preserve">Estudo </w:t>
      </w:r>
      <w:r>
        <w:rPr>
          <w:rFonts w:ascii="Times New Roman" w:hAnsi="Times New Roman" w:cs="Times New Roman"/>
          <w:b/>
        </w:rPr>
        <w:t>d</w:t>
      </w:r>
      <w:r w:rsidRPr="0045016C">
        <w:rPr>
          <w:rFonts w:ascii="Times New Roman" w:hAnsi="Times New Roman" w:cs="Times New Roman"/>
          <w:b/>
        </w:rPr>
        <w:t xml:space="preserve">a biologia e ecologia do gastrópode </w:t>
      </w:r>
      <w:r w:rsidRPr="005150CF">
        <w:rPr>
          <w:rFonts w:ascii="Times New Roman" w:hAnsi="Times New Roman" w:cs="Times New Roman"/>
          <w:b/>
          <w:i/>
        </w:rPr>
        <w:t>Achatina fulica</w:t>
      </w:r>
      <w:r w:rsidR="00F4181A">
        <w:rPr>
          <w:rFonts w:ascii="Times New Roman" w:hAnsi="Times New Roman" w:cs="Times New Roman"/>
          <w:b/>
          <w:i/>
        </w:rPr>
        <w:t xml:space="preserve"> </w:t>
      </w:r>
      <w:r w:rsidRPr="0045016C">
        <w:rPr>
          <w:rFonts w:ascii="Times New Roman" w:hAnsi="Times New Roman" w:cs="Times New Roman"/>
          <w:b/>
        </w:rPr>
        <w:t>Bowdich, 1822</w:t>
      </w:r>
      <w:bookmarkStart w:id="0" w:name="_GoBack"/>
      <w:bookmarkEnd w:id="0"/>
      <w:r w:rsidR="00F4181A">
        <w:rPr>
          <w:rFonts w:ascii="Times New Roman" w:hAnsi="Times New Roman" w:cs="Times New Roman"/>
          <w:b/>
        </w:rPr>
        <w:t xml:space="preserve"> </w:t>
      </w:r>
      <w:r w:rsidRPr="0045016C">
        <w:rPr>
          <w:rFonts w:ascii="Times New Roman" w:hAnsi="Times New Roman" w:cs="Times New Roman"/>
          <w:b/>
        </w:rPr>
        <w:t xml:space="preserve">(Mollusca, Gastropoda) </w:t>
      </w:r>
      <w:r>
        <w:rPr>
          <w:rFonts w:ascii="Times New Roman" w:hAnsi="Times New Roman" w:cs="Times New Roman"/>
          <w:b/>
        </w:rPr>
        <w:t>no município de</w:t>
      </w:r>
      <w:r w:rsidRPr="0045016C">
        <w:rPr>
          <w:rFonts w:ascii="Times New Roman" w:hAnsi="Times New Roman" w:cs="Times New Roman"/>
          <w:b/>
        </w:rPr>
        <w:t xml:space="preserve"> Caraguatatuba, </w:t>
      </w:r>
      <w:r>
        <w:rPr>
          <w:rFonts w:ascii="Times New Roman" w:hAnsi="Times New Roman" w:cs="Times New Roman"/>
          <w:b/>
        </w:rPr>
        <w:t>SP</w:t>
      </w:r>
    </w:p>
    <w:p w:rsidR="00807FF0" w:rsidRPr="0045016C" w:rsidRDefault="00807FF0" w:rsidP="00D926CA">
      <w:pPr>
        <w:spacing w:line="240" w:lineRule="auto"/>
        <w:jc w:val="center"/>
        <w:rPr>
          <w:rFonts w:ascii="Times New Roman" w:hAnsi="Times New Roman" w:cs="Times New Roman"/>
          <w:b/>
        </w:rPr>
      </w:pPr>
    </w:p>
    <w:p w:rsidR="009300B8" w:rsidRDefault="009300B8" w:rsidP="00A2659C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  <w:vertAlign w:val="superscript"/>
        </w:rPr>
      </w:pPr>
      <w:r w:rsidRPr="0045016C">
        <w:rPr>
          <w:rFonts w:ascii="Times New Roman" w:hAnsi="Times New Roman" w:cs="Times New Roman"/>
        </w:rPr>
        <w:t>Daiana de Oliveira Santana</w:t>
      </w:r>
      <w:r w:rsidR="007571B4" w:rsidRPr="0045016C">
        <w:rPr>
          <w:rFonts w:ascii="Times New Roman" w:hAnsi="Times New Roman" w:cs="Times New Roman"/>
          <w:vertAlign w:val="superscript"/>
        </w:rPr>
        <w:t>1</w:t>
      </w:r>
      <w:r w:rsidR="007571B4" w:rsidRPr="00F4181A">
        <w:rPr>
          <w:rFonts w:ascii="Times New Roman" w:hAnsi="Times New Roman" w:cs="Times New Roman"/>
        </w:rPr>
        <w:t xml:space="preserve">; </w:t>
      </w:r>
      <w:r w:rsidR="007571B4" w:rsidRPr="0045016C">
        <w:rPr>
          <w:rFonts w:ascii="Times New Roman" w:hAnsi="Times New Roman" w:cs="Times New Roman"/>
        </w:rPr>
        <w:t>Judith Font Batalla</w:t>
      </w:r>
      <w:r w:rsidR="007571B4" w:rsidRPr="0045016C">
        <w:rPr>
          <w:rFonts w:ascii="Times New Roman" w:hAnsi="Times New Roman" w:cs="Times New Roman"/>
          <w:vertAlign w:val="superscript"/>
        </w:rPr>
        <w:t>2</w:t>
      </w:r>
    </w:p>
    <w:p w:rsidR="00F4181A" w:rsidRPr="0045016C" w:rsidRDefault="00F4181A" w:rsidP="00A2659C">
      <w:pPr>
        <w:tabs>
          <w:tab w:val="left" w:pos="993"/>
        </w:tabs>
        <w:spacing w:line="240" w:lineRule="auto"/>
        <w:jc w:val="center"/>
        <w:rPr>
          <w:rFonts w:ascii="Times New Roman" w:hAnsi="Times New Roman" w:cs="Times New Roman"/>
        </w:rPr>
      </w:pPr>
    </w:p>
    <w:p w:rsidR="00682D91" w:rsidRPr="0045016C" w:rsidRDefault="007571B4" w:rsidP="007571B4">
      <w:pPr>
        <w:pStyle w:val="PargrafodaLista"/>
        <w:tabs>
          <w:tab w:val="left" w:pos="993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5016C">
        <w:rPr>
          <w:rFonts w:ascii="Times New Roman" w:hAnsi="Times New Roman" w:cs="Times New Roman"/>
          <w:sz w:val="18"/>
          <w:szCs w:val="18"/>
          <w:vertAlign w:val="superscript"/>
        </w:rPr>
        <w:t>1</w:t>
      </w:r>
      <w:r w:rsidR="008F15A4">
        <w:rPr>
          <w:rFonts w:ascii="Times New Roman" w:hAnsi="Times New Roman" w:cs="Times New Roman"/>
          <w:sz w:val="18"/>
          <w:szCs w:val="18"/>
        </w:rPr>
        <w:t xml:space="preserve">Graduanda </w:t>
      </w:r>
      <w:r w:rsidR="00682D91" w:rsidRPr="0045016C">
        <w:rPr>
          <w:rFonts w:ascii="Times New Roman" w:hAnsi="Times New Roman" w:cs="Times New Roman"/>
          <w:sz w:val="18"/>
          <w:szCs w:val="18"/>
        </w:rPr>
        <w:t>de Ciências Biológicas</w:t>
      </w:r>
      <w:r w:rsidR="00E37578" w:rsidRPr="0045016C">
        <w:rPr>
          <w:rFonts w:ascii="Times New Roman" w:hAnsi="Times New Roman" w:cs="Times New Roman"/>
          <w:sz w:val="18"/>
          <w:szCs w:val="18"/>
        </w:rPr>
        <w:t>,</w:t>
      </w:r>
      <w:r w:rsidR="00682D91" w:rsidRPr="0045016C">
        <w:rPr>
          <w:rFonts w:ascii="Times New Roman" w:hAnsi="Times New Roman" w:cs="Times New Roman"/>
          <w:sz w:val="18"/>
          <w:szCs w:val="18"/>
        </w:rPr>
        <w:t xml:space="preserve"> Centro Universitário Módulo</w:t>
      </w:r>
      <w:r w:rsidR="00E37578" w:rsidRPr="0045016C">
        <w:rPr>
          <w:rFonts w:ascii="Times New Roman" w:hAnsi="Times New Roman" w:cs="Times New Roman"/>
          <w:sz w:val="18"/>
          <w:szCs w:val="18"/>
        </w:rPr>
        <w:t>, dai.oliversantana@gmail.com</w:t>
      </w:r>
    </w:p>
    <w:p w:rsidR="007571B4" w:rsidRPr="0045016C" w:rsidRDefault="007571B4" w:rsidP="007571B4">
      <w:pPr>
        <w:pStyle w:val="PargrafodaLista"/>
        <w:tabs>
          <w:tab w:val="left" w:pos="993"/>
        </w:tabs>
        <w:ind w:left="0"/>
        <w:jc w:val="both"/>
        <w:rPr>
          <w:rFonts w:ascii="Times New Roman" w:hAnsi="Times New Roman" w:cs="Times New Roman"/>
          <w:sz w:val="18"/>
          <w:szCs w:val="18"/>
        </w:rPr>
      </w:pPr>
      <w:r w:rsidRPr="0045016C">
        <w:rPr>
          <w:rFonts w:ascii="Times New Roman" w:hAnsi="Times New Roman" w:cs="Times New Roman"/>
          <w:sz w:val="18"/>
          <w:szCs w:val="18"/>
          <w:vertAlign w:val="superscript"/>
        </w:rPr>
        <w:t>2</w:t>
      </w:r>
      <w:r w:rsidRPr="0045016C">
        <w:rPr>
          <w:rFonts w:ascii="Times New Roman" w:hAnsi="Times New Roman" w:cs="Times New Roman"/>
          <w:sz w:val="18"/>
          <w:szCs w:val="18"/>
        </w:rPr>
        <w:t>Profa. Dr</w:t>
      </w:r>
      <w:r w:rsidR="00D926CA" w:rsidRPr="0045016C">
        <w:rPr>
          <w:rFonts w:ascii="Times New Roman" w:hAnsi="Times New Roman" w:cs="Times New Roman"/>
          <w:sz w:val="18"/>
          <w:szCs w:val="18"/>
        </w:rPr>
        <w:t>a</w:t>
      </w:r>
      <w:r w:rsidR="00F4181A">
        <w:rPr>
          <w:rFonts w:ascii="Times New Roman" w:hAnsi="Times New Roman" w:cs="Times New Roman"/>
          <w:sz w:val="18"/>
          <w:szCs w:val="18"/>
        </w:rPr>
        <w:t xml:space="preserve">. </w:t>
      </w:r>
      <w:r w:rsidR="005150CF">
        <w:rPr>
          <w:rFonts w:ascii="Times New Roman" w:hAnsi="Times New Roman" w:cs="Times New Roman"/>
          <w:sz w:val="18"/>
          <w:szCs w:val="18"/>
        </w:rPr>
        <w:t>do</w:t>
      </w:r>
      <w:r w:rsidRPr="0045016C">
        <w:rPr>
          <w:rFonts w:ascii="Times New Roman" w:hAnsi="Times New Roman" w:cs="Times New Roman"/>
          <w:sz w:val="18"/>
          <w:szCs w:val="18"/>
        </w:rPr>
        <w:t xml:space="preserve"> Centro Universitário Módulo, judith.batalla@modulo.edu.br </w:t>
      </w:r>
    </w:p>
    <w:p w:rsidR="009300B8" w:rsidRPr="0045016C" w:rsidRDefault="009300B8" w:rsidP="009300B8">
      <w:pPr>
        <w:tabs>
          <w:tab w:val="left" w:pos="993"/>
        </w:tabs>
        <w:jc w:val="center"/>
        <w:rPr>
          <w:rFonts w:ascii="Times New Roman" w:hAnsi="Times New Roman" w:cs="Times New Roman"/>
          <w:b/>
        </w:rPr>
      </w:pPr>
    </w:p>
    <w:p w:rsidR="00E37578" w:rsidRDefault="00E37578" w:rsidP="000B5853">
      <w:pPr>
        <w:tabs>
          <w:tab w:val="left" w:pos="993"/>
        </w:tabs>
        <w:spacing w:line="240" w:lineRule="auto"/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b/>
          <w:szCs w:val="24"/>
        </w:rPr>
        <w:t xml:space="preserve">RESUMO - </w:t>
      </w:r>
      <w:r w:rsidRPr="0045016C">
        <w:rPr>
          <w:rFonts w:ascii="Times New Roman" w:hAnsi="Times New Roman" w:cs="Times New Roman"/>
          <w:szCs w:val="24"/>
        </w:rPr>
        <w:t xml:space="preserve">Espécies invasoras são responsáveis por ameaçar a biodiversidade causando diversos prejuízos aos ecossistemas naturais, </w:t>
      </w:r>
      <w:r w:rsidR="005150CF">
        <w:rPr>
          <w:rFonts w:ascii="Times New Roman" w:hAnsi="Times New Roman" w:cs="Times New Roman"/>
          <w:szCs w:val="24"/>
        </w:rPr>
        <w:t>à</w:t>
      </w:r>
      <w:r w:rsidRPr="0045016C">
        <w:rPr>
          <w:rFonts w:ascii="Times New Roman" w:hAnsi="Times New Roman" w:cs="Times New Roman"/>
          <w:szCs w:val="24"/>
        </w:rPr>
        <w:t xml:space="preserve"> economia e colocando a saúde humana em risco. Segundo o Ministério do Meio Ambiente (MMA), espécies exóticas invasoras são consideradas a segunda maior causa de perda de biodiversidade, após a perda e degradação de habitats. Uma espécie invasora de grande importância médica é o gastrópode</w:t>
      </w:r>
      <w:r w:rsidR="00CE1535">
        <w:rPr>
          <w:rFonts w:ascii="Times New Roman" w:hAnsi="Times New Roman" w:cs="Times New Roman"/>
          <w:szCs w:val="24"/>
        </w:rPr>
        <w:t xml:space="preserve"> </w:t>
      </w:r>
      <w:r w:rsidRPr="0045016C">
        <w:rPr>
          <w:rFonts w:ascii="Times New Roman" w:hAnsi="Times New Roman" w:cs="Times New Roman"/>
          <w:i/>
          <w:szCs w:val="24"/>
        </w:rPr>
        <w:t>Achatinafulica</w:t>
      </w:r>
      <w:r w:rsidRPr="0045016C">
        <w:rPr>
          <w:rFonts w:ascii="Times New Roman" w:hAnsi="Times New Roman" w:cs="Times New Roman"/>
          <w:szCs w:val="24"/>
        </w:rPr>
        <w:t xml:space="preserve">, conhecido como caramujo africano, que tem um potencial de transmissão de duas zoonoses </w:t>
      </w:r>
      <w:r w:rsidR="00354E9E" w:rsidRPr="0045016C">
        <w:rPr>
          <w:rFonts w:ascii="Times New Roman" w:hAnsi="Times New Roman" w:cs="Times New Roman"/>
          <w:szCs w:val="24"/>
        </w:rPr>
        <w:t>(</w:t>
      </w:r>
      <w:r w:rsidR="005150CF" w:rsidRPr="00A75110">
        <w:rPr>
          <w:rFonts w:ascii="Times New Roman" w:hAnsi="Times New Roman" w:cs="Times New Roman"/>
          <w:szCs w:val="24"/>
        </w:rPr>
        <w:t xml:space="preserve">meningite eosinofílica e angiostrongilíase </w:t>
      </w:r>
      <w:r w:rsidR="004331F0" w:rsidRPr="00A75110">
        <w:rPr>
          <w:rFonts w:ascii="Times New Roman" w:hAnsi="Times New Roman" w:cs="Times New Roman"/>
          <w:szCs w:val="24"/>
        </w:rPr>
        <w:t>a</w:t>
      </w:r>
      <w:r w:rsidR="00354E9E" w:rsidRPr="00A75110">
        <w:rPr>
          <w:rFonts w:ascii="Times New Roman" w:hAnsi="Times New Roman" w:cs="Times New Roman"/>
          <w:szCs w:val="24"/>
        </w:rPr>
        <w:t>bdominal</w:t>
      </w:r>
      <w:r w:rsidR="00354E9E" w:rsidRPr="0045016C">
        <w:rPr>
          <w:rFonts w:ascii="Times New Roman" w:hAnsi="Times New Roman" w:cs="Times New Roman"/>
          <w:szCs w:val="24"/>
        </w:rPr>
        <w:t xml:space="preserve">) </w:t>
      </w:r>
      <w:r w:rsidRPr="0045016C">
        <w:rPr>
          <w:rFonts w:ascii="Times New Roman" w:hAnsi="Times New Roman" w:cs="Times New Roman"/>
          <w:szCs w:val="24"/>
        </w:rPr>
        <w:t>causadas por vermes. Exemplares dessa espécie estão presentes em pelo menos</w:t>
      </w:r>
      <w:r w:rsidR="004331F0" w:rsidRPr="0045016C">
        <w:rPr>
          <w:rFonts w:ascii="Times New Roman" w:hAnsi="Times New Roman" w:cs="Times New Roman"/>
          <w:szCs w:val="24"/>
        </w:rPr>
        <w:t xml:space="preserve"> 23 dos 26 estados brasileiros</w:t>
      </w:r>
      <w:r w:rsidRPr="0045016C">
        <w:rPr>
          <w:rFonts w:ascii="Times New Roman" w:hAnsi="Times New Roman" w:cs="Times New Roman"/>
          <w:szCs w:val="24"/>
        </w:rPr>
        <w:t xml:space="preserve">, estando classificados entre as cem piores espécies exóticas invasoras de ocorrência mundial. O objetivo desta pesquisa foi verificar a presença do </w:t>
      </w:r>
      <w:r w:rsidRPr="0045016C">
        <w:rPr>
          <w:rFonts w:ascii="Times New Roman" w:hAnsi="Times New Roman" w:cs="Times New Roman"/>
          <w:i/>
          <w:szCs w:val="24"/>
        </w:rPr>
        <w:t>A. fulica</w:t>
      </w:r>
      <w:r w:rsidRPr="0045016C">
        <w:rPr>
          <w:rFonts w:ascii="Times New Roman" w:hAnsi="Times New Roman" w:cs="Times New Roman"/>
          <w:szCs w:val="24"/>
        </w:rPr>
        <w:t xml:space="preserve">, na cidade de Caraguatatuba, por meio de observação comportamental em campo. Resultados preliminares mostram o aumento populacional em épocas de chuvas, principalmente em locais abandonados com acúmulo de entulhos e/ou matéria orgânica </w:t>
      </w:r>
      <w:r w:rsidR="00354E9E" w:rsidRPr="0045016C">
        <w:rPr>
          <w:rFonts w:ascii="Times New Roman" w:hAnsi="Times New Roman" w:cs="Times New Roman"/>
          <w:szCs w:val="24"/>
        </w:rPr>
        <w:t xml:space="preserve">que </w:t>
      </w:r>
      <w:r w:rsidRPr="0045016C">
        <w:rPr>
          <w:rFonts w:ascii="Times New Roman" w:hAnsi="Times New Roman" w:cs="Times New Roman"/>
          <w:szCs w:val="24"/>
        </w:rPr>
        <w:t>compactuam para o aumento e proliferação da espécie.</w:t>
      </w:r>
    </w:p>
    <w:p w:rsidR="00140A7D" w:rsidRPr="0045016C" w:rsidRDefault="00140A7D" w:rsidP="004331F0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</w:p>
    <w:p w:rsidR="00354E9E" w:rsidRPr="0045016C" w:rsidRDefault="00354E9E" w:rsidP="00E37578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b/>
          <w:szCs w:val="24"/>
        </w:rPr>
        <w:t xml:space="preserve">PALAVRAS-CHAVE: </w:t>
      </w:r>
      <w:r w:rsidR="00E52BC4" w:rsidRPr="0045016C">
        <w:rPr>
          <w:rFonts w:ascii="Times New Roman" w:hAnsi="Times New Roman" w:cs="Times New Roman"/>
          <w:szCs w:val="24"/>
        </w:rPr>
        <w:t>caramujo africano; espécies invasoras; zoonoses</w:t>
      </w:r>
      <w:r w:rsidR="00E52BC4" w:rsidRPr="0045016C">
        <w:rPr>
          <w:rFonts w:ascii="Times New Roman" w:hAnsi="Times New Roman" w:cs="Times New Roman"/>
          <w:i/>
          <w:szCs w:val="24"/>
        </w:rPr>
        <w:t>.</w:t>
      </w:r>
    </w:p>
    <w:p w:rsidR="00354E9E" w:rsidRPr="0045016C" w:rsidRDefault="00354E9E" w:rsidP="00E37578">
      <w:pPr>
        <w:tabs>
          <w:tab w:val="left" w:pos="993"/>
        </w:tabs>
        <w:jc w:val="both"/>
        <w:rPr>
          <w:rFonts w:ascii="Times New Roman" w:hAnsi="Times New Roman" w:cs="Times New Roman"/>
          <w:sz w:val="14"/>
        </w:rPr>
      </w:pPr>
    </w:p>
    <w:p w:rsidR="00354E9E" w:rsidRDefault="00354E9E" w:rsidP="00354E9E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r w:rsidRPr="0045016C">
        <w:rPr>
          <w:rFonts w:ascii="Times New Roman" w:hAnsi="Times New Roman" w:cs="Times New Roman"/>
          <w:b/>
          <w:szCs w:val="24"/>
        </w:rPr>
        <w:t xml:space="preserve">1 INTRODUÇÃO </w:t>
      </w:r>
    </w:p>
    <w:p w:rsidR="00140A7D" w:rsidRPr="0045016C" w:rsidRDefault="00140A7D" w:rsidP="00354E9E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9E183B" w:rsidRPr="0045016C" w:rsidRDefault="009E183B" w:rsidP="000B585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szCs w:val="24"/>
        </w:rPr>
        <w:t xml:space="preserve">Os gastrópodes pertencem à maior classe dos moluscos com cerca de 30.000 espécies existentes, cujos representantes mais conhecidos são as lesmas, caracóis e caramujos. Os exemplares dessa classe estão presentes em ambientes terrestres, marinhos e também na água doce (BARNES; RUPPERT, 1996). Ainda de acordo com BARNES; RUPPERT (op. cit.). Em seus </w:t>
      </w:r>
      <w:r w:rsidR="001C2FB2" w:rsidRPr="0045016C">
        <w:rPr>
          <w:rFonts w:ascii="Times New Roman" w:hAnsi="Times New Roman" w:cs="Times New Roman"/>
          <w:szCs w:val="24"/>
        </w:rPr>
        <w:t>h</w:t>
      </w:r>
      <w:r w:rsidR="001C2FB2">
        <w:rPr>
          <w:rFonts w:ascii="Times New Roman" w:hAnsi="Times New Roman" w:cs="Times New Roman"/>
          <w:szCs w:val="24"/>
        </w:rPr>
        <w:t>a</w:t>
      </w:r>
      <w:r w:rsidR="001C2FB2" w:rsidRPr="0045016C">
        <w:rPr>
          <w:rFonts w:ascii="Times New Roman" w:hAnsi="Times New Roman" w:cs="Times New Roman"/>
          <w:szCs w:val="24"/>
        </w:rPr>
        <w:t>bitats</w:t>
      </w:r>
      <w:r w:rsidR="00193423">
        <w:rPr>
          <w:rFonts w:ascii="Times New Roman" w:hAnsi="Times New Roman" w:cs="Times New Roman"/>
          <w:szCs w:val="24"/>
        </w:rPr>
        <w:t xml:space="preserve"> naturais</w:t>
      </w:r>
      <w:r w:rsidRPr="0045016C">
        <w:rPr>
          <w:rFonts w:ascii="Times New Roman" w:hAnsi="Times New Roman" w:cs="Times New Roman"/>
          <w:szCs w:val="24"/>
        </w:rPr>
        <w:t xml:space="preserve">, esses animais desempenham importantes atividades na manutenção do equilíbrio ecológico, atuando diretamente nos níveis tróficos da cadeia alimentar como consumidores ou como alimento para outros animais. De acordo com a Convenção sobre Diversidade Biológica (CDB) </w:t>
      </w:r>
      <w:r w:rsidR="001F268D">
        <w:rPr>
          <w:rFonts w:ascii="Times New Roman" w:hAnsi="Times New Roman" w:cs="Times New Roman"/>
          <w:szCs w:val="24"/>
        </w:rPr>
        <w:t xml:space="preserve">em 1992 e </w:t>
      </w:r>
      <w:r w:rsidRPr="0045016C">
        <w:rPr>
          <w:rFonts w:ascii="Times New Roman" w:hAnsi="Times New Roman" w:cs="Times New Roman"/>
          <w:szCs w:val="24"/>
        </w:rPr>
        <w:t>a 6ª Conferência das Partes (</w:t>
      </w:r>
      <w:r w:rsidR="001F268D">
        <w:rPr>
          <w:rFonts w:ascii="Times New Roman" w:hAnsi="Times New Roman" w:cs="Times New Roman"/>
          <w:szCs w:val="24"/>
        </w:rPr>
        <w:t>em</w:t>
      </w:r>
      <w:r w:rsidRPr="0045016C">
        <w:rPr>
          <w:rFonts w:ascii="Times New Roman" w:hAnsi="Times New Roman" w:cs="Times New Roman"/>
          <w:szCs w:val="24"/>
        </w:rPr>
        <w:t xml:space="preserve"> 2002), quando uma espécie é retirada de seu habitat natural e introduzida em outro, a mesma passa a ser denominada exótica (se estiver fora de seu local de origem e não causar impactos no meio) ou exótica invasora (se ameaçar ecossistemas, habitats ou espécies).</w:t>
      </w:r>
    </w:p>
    <w:p w:rsidR="009E183B" w:rsidRPr="0045016C" w:rsidRDefault="009E183B" w:rsidP="000B585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szCs w:val="24"/>
        </w:rPr>
        <w:t xml:space="preserve">O </w:t>
      </w:r>
      <w:r w:rsidRPr="0045016C">
        <w:rPr>
          <w:rFonts w:ascii="Times New Roman" w:hAnsi="Times New Roman" w:cs="Times New Roman"/>
          <w:i/>
          <w:szCs w:val="24"/>
        </w:rPr>
        <w:t>A. fulica</w:t>
      </w:r>
      <w:r w:rsidRPr="0045016C">
        <w:rPr>
          <w:rFonts w:ascii="Times New Roman" w:hAnsi="Times New Roman" w:cs="Times New Roman"/>
          <w:szCs w:val="24"/>
        </w:rPr>
        <w:t xml:space="preserve"> é nativo do leste da África e foi introduzido no Brasil por volta de 1980 para ser utilizado na alimentação como "escargot" (caracóis do gênero </w:t>
      </w:r>
      <w:r w:rsidRPr="0045016C">
        <w:rPr>
          <w:rFonts w:ascii="Times New Roman" w:hAnsi="Times New Roman" w:cs="Times New Roman"/>
          <w:i/>
          <w:szCs w:val="24"/>
        </w:rPr>
        <w:t>Helix</w:t>
      </w:r>
      <w:r w:rsidRPr="0045016C">
        <w:rPr>
          <w:rFonts w:ascii="Times New Roman" w:hAnsi="Times New Roman" w:cs="Times New Roman"/>
          <w:szCs w:val="24"/>
        </w:rPr>
        <w:t xml:space="preserve">sp), porém devido ao insucesso desse tipo de comercialização associado a não aceitação pelo mercado acabou ocasionando o abandono de criadouros, onde os exemplares da espécie que seriam consumidos foram soltos no território nacional (THIENGO </w:t>
      </w:r>
      <w:r w:rsidRPr="009A5D64">
        <w:rPr>
          <w:rFonts w:ascii="Times New Roman" w:hAnsi="Times New Roman" w:cs="Times New Roman"/>
          <w:i/>
          <w:szCs w:val="24"/>
        </w:rPr>
        <w:t>et al</w:t>
      </w:r>
      <w:r w:rsidRPr="0045016C">
        <w:rPr>
          <w:rFonts w:ascii="Times New Roman" w:hAnsi="Times New Roman" w:cs="Times New Roman"/>
          <w:szCs w:val="24"/>
        </w:rPr>
        <w:t xml:space="preserve">., 2007) por não possuírem predadores naturais nesse novo local e possuírem uma elevada capacidade reprodutiva acabaram se dispersando rapidamente (SIMIÃO; FISHER, 2004) com o auxílio de sua enorme capacidade adaptativa (THIENGO </w:t>
      </w:r>
      <w:r w:rsidRPr="009A5D64">
        <w:rPr>
          <w:rFonts w:ascii="Times New Roman" w:hAnsi="Times New Roman" w:cs="Times New Roman"/>
          <w:i/>
          <w:szCs w:val="24"/>
        </w:rPr>
        <w:t>et al</w:t>
      </w:r>
      <w:r w:rsidRPr="0045016C">
        <w:rPr>
          <w:rFonts w:ascii="Times New Roman" w:hAnsi="Times New Roman" w:cs="Times New Roman"/>
          <w:szCs w:val="24"/>
        </w:rPr>
        <w:t>.,</w:t>
      </w:r>
      <w:r w:rsidR="00CE1535">
        <w:rPr>
          <w:rFonts w:ascii="Times New Roman" w:hAnsi="Times New Roman" w:cs="Times New Roman"/>
          <w:szCs w:val="24"/>
        </w:rPr>
        <w:t xml:space="preserve"> </w:t>
      </w:r>
      <w:r w:rsidR="00AD72D3" w:rsidRPr="0045016C">
        <w:rPr>
          <w:rFonts w:ascii="Times New Roman" w:hAnsi="Times New Roman" w:cs="Times New Roman"/>
          <w:szCs w:val="24"/>
        </w:rPr>
        <w:t>201</w:t>
      </w:r>
      <w:r w:rsidR="00AD72D3">
        <w:rPr>
          <w:rFonts w:ascii="Times New Roman" w:hAnsi="Times New Roman" w:cs="Times New Roman"/>
          <w:szCs w:val="24"/>
        </w:rPr>
        <w:t>6</w:t>
      </w:r>
      <w:r w:rsidRPr="0045016C">
        <w:rPr>
          <w:rFonts w:ascii="Times New Roman" w:hAnsi="Times New Roman" w:cs="Times New Roman"/>
          <w:szCs w:val="24"/>
        </w:rPr>
        <w:t xml:space="preserve">; </w:t>
      </w:r>
      <w:r w:rsidRPr="0045016C">
        <w:rPr>
          <w:rFonts w:ascii="Times New Roman" w:hAnsi="Times New Roman" w:cs="Times New Roman"/>
          <w:szCs w:val="24"/>
          <w:lang w:val="hr-HR"/>
        </w:rPr>
        <w:t>VASCONCELLOS, 2001)</w:t>
      </w:r>
      <w:r w:rsidRPr="0045016C">
        <w:rPr>
          <w:rFonts w:ascii="Times New Roman" w:hAnsi="Times New Roman" w:cs="Times New Roman"/>
          <w:szCs w:val="24"/>
        </w:rPr>
        <w:t xml:space="preserve">. </w:t>
      </w:r>
    </w:p>
    <w:p w:rsidR="009E183B" w:rsidRPr="0045016C" w:rsidRDefault="009E183B" w:rsidP="000B5853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szCs w:val="24"/>
        </w:rPr>
        <w:lastRenderedPageBreak/>
        <w:t xml:space="preserve">Além do risco à biodiversidade nativa, o </w:t>
      </w:r>
      <w:r w:rsidRPr="0045016C">
        <w:rPr>
          <w:rFonts w:ascii="Times New Roman" w:hAnsi="Times New Roman" w:cs="Times New Roman"/>
          <w:i/>
          <w:szCs w:val="24"/>
        </w:rPr>
        <w:t>A. fulica</w:t>
      </w:r>
      <w:r w:rsidRPr="0045016C">
        <w:rPr>
          <w:rFonts w:ascii="Times New Roman" w:hAnsi="Times New Roman" w:cs="Times New Roman"/>
          <w:szCs w:val="24"/>
        </w:rPr>
        <w:t xml:space="preserve"> é indicado como vetor de duas zoonoses causadas por vermes, o </w:t>
      </w:r>
      <w:r w:rsidRPr="0045016C">
        <w:rPr>
          <w:rFonts w:ascii="Times New Roman" w:hAnsi="Times New Roman" w:cs="Times New Roman"/>
          <w:i/>
          <w:szCs w:val="24"/>
        </w:rPr>
        <w:t>Angiostrongyluscantonensis</w:t>
      </w:r>
      <w:r w:rsidRPr="0045016C">
        <w:rPr>
          <w:rFonts w:ascii="Times New Roman" w:hAnsi="Times New Roman" w:cs="Times New Roman"/>
          <w:szCs w:val="24"/>
        </w:rPr>
        <w:t xml:space="preserve">, verme pulmonar de roedores, que é a causa mais comum da </w:t>
      </w:r>
      <w:r w:rsidR="00193423" w:rsidRPr="00806230">
        <w:rPr>
          <w:rFonts w:ascii="Times New Roman" w:hAnsi="Times New Roman" w:cs="Times New Roman"/>
          <w:szCs w:val="24"/>
        </w:rPr>
        <w:t>meningite eosinofílica</w:t>
      </w:r>
      <w:r w:rsidRPr="0045016C">
        <w:rPr>
          <w:rFonts w:ascii="Times New Roman" w:hAnsi="Times New Roman" w:cs="Times New Roman"/>
          <w:szCs w:val="24"/>
        </w:rPr>
        <w:t xml:space="preserve">humana e o </w:t>
      </w:r>
      <w:r w:rsidRPr="0045016C">
        <w:rPr>
          <w:rFonts w:ascii="Times New Roman" w:hAnsi="Times New Roman" w:cs="Times New Roman"/>
          <w:i/>
          <w:szCs w:val="24"/>
        </w:rPr>
        <w:t>Angiostrongylus</w:t>
      </w:r>
      <w:r w:rsidR="00CE1535">
        <w:rPr>
          <w:rFonts w:ascii="Times New Roman" w:hAnsi="Times New Roman" w:cs="Times New Roman"/>
          <w:i/>
          <w:szCs w:val="24"/>
        </w:rPr>
        <w:t xml:space="preserve"> </w:t>
      </w:r>
      <w:r w:rsidRPr="0045016C">
        <w:rPr>
          <w:rFonts w:ascii="Times New Roman" w:hAnsi="Times New Roman" w:cs="Times New Roman"/>
          <w:i/>
          <w:szCs w:val="24"/>
        </w:rPr>
        <w:t>costaricensis</w:t>
      </w:r>
      <w:r w:rsidRPr="0045016C">
        <w:rPr>
          <w:rFonts w:ascii="Times New Roman" w:hAnsi="Times New Roman" w:cs="Times New Roman"/>
          <w:szCs w:val="24"/>
        </w:rPr>
        <w:t xml:space="preserve">, agente causador da </w:t>
      </w:r>
      <w:r w:rsidR="00193423" w:rsidRPr="0045016C">
        <w:rPr>
          <w:rFonts w:ascii="Times New Roman" w:hAnsi="Times New Roman" w:cs="Times New Roman"/>
          <w:szCs w:val="24"/>
        </w:rPr>
        <w:t>angiostrongilíase abdominal ou intestinal</w:t>
      </w:r>
      <w:r w:rsidR="00FD4FA1" w:rsidRPr="0045016C">
        <w:rPr>
          <w:rFonts w:ascii="Times New Roman" w:hAnsi="Times New Roman" w:cs="Times New Roman"/>
          <w:szCs w:val="24"/>
        </w:rPr>
        <w:t xml:space="preserve">. </w:t>
      </w:r>
      <w:r w:rsidRPr="0045016C">
        <w:rPr>
          <w:rFonts w:ascii="Times New Roman" w:hAnsi="Times New Roman" w:cs="Times New Roman"/>
          <w:szCs w:val="24"/>
        </w:rPr>
        <w:t xml:space="preserve">Tudo isso mostra que essa espécie também tem um grande potencial de se tornar um problema de saúde pública. Objetiva-se neste estudo realizar um levantamento sobre a presença do </w:t>
      </w:r>
      <w:r w:rsidRPr="0045016C">
        <w:rPr>
          <w:rFonts w:ascii="Times New Roman" w:hAnsi="Times New Roman" w:cs="Times New Roman"/>
          <w:i/>
          <w:szCs w:val="24"/>
        </w:rPr>
        <w:t>Achatinafulica</w:t>
      </w:r>
      <w:r w:rsidR="00CE1535">
        <w:rPr>
          <w:rFonts w:ascii="Times New Roman" w:hAnsi="Times New Roman" w:cs="Times New Roman"/>
          <w:i/>
          <w:szCs w:val="24"/>
        </w:rPr>
        <w:t xml:space="preserve"> </w:t>
      </w:r>
      <w:r w:rsidRPr="0045016C">
        <w:rPr>
          <w:rFonts w:ascii="Times New Roman" w:hAnsi="Times New Roman" w:cs="Times New Roman"/>
          <w:szCs w:val="24"/>
        </w:rPr>
        <w:t>Bowdich, 1822 (</w:t>
      </w:r>
      <w:r w:rsidR="00B121EA" w:rsidRPr="0045016C">
        <w:rPr>
          <w:rFonts w:ascii="Times New Roman" w:hAnsi="Times New Roman" w:cs="Times New Roman"/>
          <w:szCs w:val="24"/>
        </w:rPr>
        <w:t>Mollusca, Gastropoda</w:t>
      </w:r>
      <w:r w:rsidRPr="0045016C">
        <w:rPr>
          <w:rFonts w:ascii="Times New Roman" w:hAnsi="Times New Roman" w:cs="Times New Roman"/>
          <w:szCs w:val="24"/>
        </w:rPr>
        <w:t xml:space="preserve">) na cidade de Caraguatatuba e estudar sua biologia e ecologia por meio de observações em campo. Também será realizada a coleta de dados sobre o conhecimento que os moradores da cidade possuem acerca do caramujo africano, visando averiguar os possíveis prejuízos que essa espécie pode estar causando à biodiversidade nativa, </w:t>
      </w:r>
      <w:r w:rsidR="00E76DC5" w:rsidRPr="0045016C">
        <w:rPr>
          <w:rFonts w:ascii="Times New Roman" w:hAnsi="Times New Roman" w:cs="Times New Roman"/>
          <w:szCs w:val="24"/>
        </w:rPr>
        <w:t>na tentativa de</w:t>
      </w:r>
      <w:r w:rsidRPr="0045016C">
        <w:rPr>
          <w:rFonts w:ascii="Times New Roman" w:hAnsi="Times New Roman" w:cs="Times New Roman"/>
          <w:szCs w:val="24"/>
        </w:rPr>
        <w:t xml:space="preserve"> obter-se uma possível forma de controle.</w:t>
      </w:r>
    </w:p>
    <w:p w:rsidR="00E76DC5" w:rsidRPr="0045016C" w:rsidRDefault="00E76DC5" w:rsidP="009E183B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E76DC5" w:rsidRPr="0045016C" w:rsidRDefault="00E76DC5" w:rsidP="00E76DC5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r w:rsidRPr="0045016C">
        <w:rPr>
          <w:rFonts w:ascii="Times New Roman" w:hAnsi="Times New Roman" w:cs="Times New Roman"/>
          <w:b/>
          <w:szCs w:val="24"/>
        </w:rPr>
        <w:t>2 MATERIAL E MÉTODOS</w:t>
      </w:r>
    </w:p>
    <w:p w:rsidR="00140A7D" w:rsidRPr="00140A7D" w:rsidRDefault="00140A7D" w:rsidP="00140A7D">
      <w:pPr>
        <w:ind w:firstLine="654"/>
        <w:jc w:val="both"/>
        <w:rPr>
          <w:rFonts w:ascii="Times New Roman" w:hAnsi="Times New Roman" w:cs="Times New Roman"/>
        </w:rPr>
      </w:pPr>
    </w:p>
    <w:p w:rsidR="00140A7D" w:rsidRDefault="00E76DC5" w:rsidP="008B76A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</w:rPr>
      </w:pPr>
      <w:r w:rsidRPr="0045016C">
        <w:rPr>
          <w:rFonts w:ascii="Times New Roman" w:hAnsi="Times New Roman" w:cs="Times New Roman"/>
          <w:szCs w:val="24"/>
        </w:rPr>
        <w:t>Foram realizadas saídas de campo para observação dos indivíduos, sendo coletadas as medidas conquiológicas (comprimento e altura da concha) dos espécimes encontrados vivos ou mortos</w:t>
      </w:r>
      <w:r w:rsidR="0045016C" w:rsidRPr="0045016C">
        <w:rPr>
          <w:rFonts w:ascii="Times New Roman" w:hAnsi="Times New Roman" w:cs="Times New Roman"/>
          <w:szCs w:val="24"/>
        </w:rPr>
        <w:t>,</w:t>
      </w:r>
      <w:r w:rsidRPr="0045016C">
        <w:rPr>
          <w:rFonts w:ascii="Times New Roman" w:hAnsi="Times New Roman" w:cs="Times New Roman"/>
          <w:szCs w:val="24"/>
        </w:rPr>
        <w:t xml:space="preserve"> com o uso de luvas e de um paquímetro. </w:t>
      </w:r>
      <w:r w:rsidR="00140A7D" w:rsidRPr="00140A7D">
        <w:rPr>
          <w:rFonts w:ascii="Times New Roman" w:hAnsi="Times New Roman" w:cs="Times New Roman"/>
        </w:rPr>
        <w:t>Para a coleta desses dados foi necessário observar os caracóis durante uma hora, uma vez por semana e efetuando registros de seu comportamento, do que se alimentam e suas relações com outros indivíduos, relacionando sua distribuição e frequência em relação aos fatores ambientais.</w:t>
      </w:r>
    </w:p>
    <w:p w:rsidR="00E76DC5" w:rsidRDefault="00E76DC5" w:rsidP="008B76A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szCs w:val="24"/>
        </w:rPr>
        <w:t>Os resultados foram registrados em planilhas e fotografias (Figura 1). Para a coleta desses dados foi necessário observar os caracóis durante uma hora, a cada duas semanas em dois terrenos baldios (um no morro do algodão e outro no Indaiá) e efetuando registros de seu comportamento, do que se alimentam e suas relações com outros indivíduos, comparando sua distribuição e frequência com os fatores ambientais.</w:t>
      </w:r>
    </w:p>
    <w:p w:rsidR="00140A7D" w:rsidRPr="0045016C" w:rsidRDefault="00140A7D" w:rsidP="0045016C">
      <w:pPr>
        <w:tabs>
          <w:tab w:val="left" w:pos="993"/>
        </w:tabs>
        <w:ind w:firstLine="284"/>
        <w:jc w:val="both"/>
        <w:rPr>
          <w:rFonts w:ascii="Times New Roman" w:hAnsi="Times New Roman" w:cs="Times New Roman"/>
          <w:szCs w:val="24"/>
        </w:rPr>
      </w:pPr>
    </w:p>
    <w:p w:rsidR="00E76DC5" w:rsidRPr="0045016C" w:rsidRDefault="00E76DC5" w:rsidP="00E76DC5">
      <w:pPr>
        <w:tabs>
          <w:tab w:val="left" w:pos="993"/>
        </w:tabs>
        <w:ind w:firstLine="709"/>
        <w:jc w:val="center"/>
        <w:rPr>
          <w:rFonts w:ascii="Times New Roman" w:hAnsi="Times New Roman" w:cs="Times New Roman"/>
          <w:szCs w:val="24"/>
        </w:rPr>
      </w:pPr>
      <w:r w:rsidRPr="002D2726">
        <w:rPr>
          <w:rFonts w:ascii="Times New Roman" w:hAnsi="Times New Roman" w:cs="Times New Roman"/>
          <w:b/>
          <w:szCs w:val="24"/>
        </w:rPr>
        <w:t>Figura 1</w:t>
      </w:r>
      <w:r w:rsidR="00CE1535">
        <w:rPr>
          <w:rFonts w:ascii="Times New Roman" w:hAnsi="Times New Roman" w:cs="Times New Roman"/>
          <w:b/>
          <w:szCs w:val="24"/>
        </w:rPr>
        <w:t xml:space="preserve"> </w:t>
      </w:r>
      <w:r w:rsidRPr="00CE1535">
        <w:rPr>
          <w:rFonts w:ascii="Times New Roman" w:hAnsi="Times New Roman" w:cs="Times New Roman"/>
          <w:b/>
          <w:szCs w:val="24"/>
        </w:rPr>
        <w:t>-</w:t>
      </w:r>
      <w:r w:rsidR="00CE1535">
        <w:rPr>
          <w:rFonts w:ascii="Times New Roman" w:hAnsi="Times New Roman" w:cs="Times New Roman"/>
          <w:b/>
          <w:szCs w:val="24"/>
        </w:rPr>
        <w:t xml:space="preserve"> </w:t>
      </w:r>
      <w:r w:rsidRPr="0045016C">
        <w:rPr>
          <w:rFonts w:ascii="Times New Roman" w:hAnsi="Times New Roman" w:cs="Times New Roman"/>
          <w:szCs w:val="24"/>
          <w:lang w:val="hr-HR"/>
        </w:rPr>
        <w:t>Medição de um exemplar com o uso do paquímetro.</w:t>
      </w:r>
    </w:p>
    <w:p w:rsidR="00E76DC5" w:rsidRPr="0045016C" w:rsidRDefault="0078290B" w:rsidP="00E76DC5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</w:rPr>
      </w:pPr>
      <w:r w:rsidRPr="002D2726">
        <w:rPr>
          <w:rFonts w:ascii="Times New Roman" w:hAnsi="Times New Roman" w:cs="Times New Roman"/>
          <w:b/>
          <w:noProof/>
          <w:szCs w:val="24"/>
          <w:lang w:eastAsia="pt-BR"/>
        </w:rPr>
        <w:drawing>
          <wp:anchor distT="0" distB="0" distL="114300" distR="114300" simplePos="0" relativeHeight="251644928" behindDoc="1" locked="0" layoutInCell="1" allowOverlap="1">
            <wp:simplePos x="0" y="0"/>
            <wp:positionH relativeFrom="column">
              <wp:posOffset>2891790</wp:posOffset>
            </wp:positionH>
            <wp:positionV relativeFrom="paragraph">
              <wp:posOffset>45720</wp:posOffset>
            </wp:positionV>
            <wp:extent cx="2548890" cy="2153285"/>
            <wp:effectExtent l="19050" t="19050" r="22860" b="18415"/>
            <wp:wrapTight wrapText="bothSides">
              <wp:wrapPolygon edited="0">
                <wp:start x="-161" y="-191"/>
                <wp:lineTo x="-161" y="21785"/>
                <wp:lineTo x="21794" y="21785"/>
                <wp:lineTo x="21794" y="-191"/>
                <wp:lineTo x="-161" y="-191"/>
              </wp:wrapPolygon>
            </wp:wrapTight>
            <wp:docPr id="4" name="Imagem 1" descr="WhatsApp Image 2017-05-22 at 11.31.32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WhatsApp Image 2017-05-22 at 11.31.32 PM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48890" cy="2153285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2D2726">
        <w:rPr>
          <w:rFonts w:ascii="Times New Roman" w:hAnsi="Times New Roman" w:cs="Times New Roman"/>
          <w:b/>
          <w:noProof/>
          <w:szCs w:val="24"/>
          <w:lang w:eastAsia="pt-BR"/>
        </w:rPr>
        <w:drawing>
          <wp:anchor distT="0" distB="0" distL="114300" distR="114300" simplePos="0" relativeHeight="251653120" behindDoc="1" locked="0" layoutInCell="1" allowOverlap="1">
            <wp:simplePos x="0" y="0"/>
            <wp:positionH relativeFrom="margin">
              <wp:posOffset>314960</wp:posOffset>
            </wp:positionH>
            <wp:positionV relativeFrom="paragraph">
              <wp:posOffset>40005</wp:posOffset>
            </wp:positionV>
            <wp:extent cx="2406015" cy="2162810"/>
            <wp:effectExtent l="19050" t="19050" r="0" b="8890"/>
            <wp:wrapTight wrapText="bothSides">
              <wp:wrapPolygon edited="0">
                <wp:start x="-171" y="-190"/>
                <wp:lineTo x="-171" y="21689"/>
                <wp:lineTo x="21549" y="21689"/>
                <wp:lineTo x="21549" y="-190"/>
                <wp:lineTo x="-171" y="-190"/>
              </wp:wrapPolygon>
            </wp:wrapTight>
            <wp:docPr id="3" name="Imagem 0" descr="WhatsApp Image 2017-05-22 at 11.31.57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0" descr="WhatsApp Image 2017-05-22 at 11.31.57 PM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06015" cy="216281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000000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205AE9" w:rsidRDefault="00205AE9" w:rsidP="00425253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205AE9" w:rsidRDefault="00205AE9" w:rsidP="00425253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205AE9" w:rsidRDefault="00205AE9" w:rsidP="00425253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205AE9" w:rsidRDefault="00205AE9" w:rsidP="00425253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205AE9" w:rsidRDefault="00205AE9" w:rsidP="00425253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C532E8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C532E8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C532E8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C532E8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C532E8" w:rsidRDefault="00C532E8" w:rsidP="00C532E8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r w:rsidRPr="0045016C">
        <w:rPr>
          <w:rFonts w:ascii="Times New Roman" w:hAnsi="Times New Roman" w:cs="Times New Roman"/>
          <w:b/>
          <w:szCs w:val="24"/>
        </w:rPr>
        <w:t xml:space="preserve">3 RESULTADOS E DISCUSSÃO </w:t>
      </w:r>
    </w:p>
    <w:p w:rsidR="00C532E8" w:rsidRPr="0045016C" w:rsidRDefault="00C532E8" w:rsidP="00C532E8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29434C" w:rsidRPr="0029434C" w:rsidRDefault="00C532E8" w:rsidP="008B76A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szCs w:val="24"/>
        </w:rPr>
        <w:t xml:space="preserve">Durante o período inicial do estudo foi possível constatar a presença do gastrópode na região central de Caraguatatuba (bairros Indaiá, Gaivotas, Poiares, Britânia, Morro do Algodão, Pontal de Santa Marina, Praia das Palmeiras e Golfinho). Restando constatar a </w:t>
      </w:r>
      <w:r w:rsidRPr="0045016C">
        <w:rPr>
          <w:rFonts w:ascii="Times New Roman" w:hAnsi="Times New Roman" w:cs="Times New Roman"/>
          <w:szCs w:val="24"/>
        </w:rPr>
        <w:lastRenderedPageBreak/>
        <w:t xml:space="preserve">presença da espécie nas </w:t>
      </w:r>
      <w:r w:rsidRPr="0029434C">
        <w:rPr>
          <w:rFonts w:ascii="Times New Roman" w:hAnsi="Times New Roman" w:cs="Times New Roman"/>
          <w:szCs w:val="24"/>
        </w:rPr>
        <w:t xml:space="preserve">regiões Sul e Norte da cidade. </w:t>
      </w:r>
      <w:r w:rsidR="0029434C" w:rsidRPr="0029434C">
        <w:rPr>
          <w:rFonts w:ascii="Times New Roman" w:hAnsi="Times New Roman" w:cs="Times New Roman"/>
          <w:szCs w:val="24"/>
        </w:rPr>
        <w:t>Dados preliminares obtidos durante as saídas de campo indicam que exemplares dessa espécie tendem a aparecer com maior frequência após dias de chuvas, indicando a dependência desses indivíduos em relação à ambientes úmidos, porém foi verificado que com chuva em excesso os caramujos tendem a subir em muros de residências na tentativa de buscar abrigo, ficando assim mais expostos e menos protegidos</w:t>
      </w:r>
    </w:p>
    <w:p w:rsidR="003B54D2" w:rsidRDefault="003B54D2" w:rsidP="008B76A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  <w:lang w:val="hr-HR"/>
        </w:rPr>
      </w:pPr>
      <w:r w:rsidRPr="0029434C">
        <w:rPr>
          <w:rFonts w:ascii="Times New Roman" w:hAnsi="Times New Roman" w:cs="Times New Roman"/>
          <w:szCs w:val="24"/>
          <w:lang w:val="hr-HR"/>
        </w:rPr>
        <w:t>Foram coletadas as medidas conquiliométricas de 70 exemplares, dos quais 33 indivíduos</w:t>
      </w:r>
      <w:r w:rsidRPr="0045016C">
        <w:rPr>
          <w:rFonts w:ascii="Times New Roman" w:hAnsi="Times New Roman" w:cs="Times New Roman"/>
          <w:szCs w:val="24"/>
          <w:lang w:val="hr-HR"/>
        </w:rPr>
        <w:t xml:space="preserve"> estavam mortos devido à ação antrópica. A média da altura da concha dos indivíduos mortos foi de aproximadamente 6,1cm, com largura média equivalente a 3,14cm. Dentre os indivíduos vivos (37 exemplares) foi obtida uma média de aproximadamente 5,0cm de altura e 2,65cm de largura. A partir desses dados </w:t>
      </w:r>
      <w:r w:rsidR="0045016C">
        <w:rPr>
          <w:rFonts w:ascii="Times New Roman" w:hAnsi="Times New Roman" w:cs="Times New Roman"/>
          <w:szCs w:val="24"/>
          <w:lang w:val="hr-HR"/>
        </w:rPr>
        <w:t>foi</w:t>
      </w:r>
      <w:r w:rsidRPr="0045016C">
        <w:rPr>
          <w:rFonts w:ascii="Times New Roman" w:hAnsi="Times New Roman" w:cs="Times New Roman"/>
          <w:szCs w:val="24"/>
          <w:lang w:val="hr-HR"/>
        </w:rPr>
        <w:t xml:space="preserve"> possível constatar, que a média dos indivíduos vivos foi infe</w:t>
      </w:r>
      <w:r w:rsidR="00AB4197">
        <w:rPr>
          <w:rFonts w:ascii="Times New Roman" w:hAnsi="Times New Roman" w:cs="Times New Roman"/>
          <w:szCs w:val="24"/>
          <w:lang w:val="hr-HR"/>
        </w:rPr>
        <w:t>rior à dos mortos (</w:t>
      </w:r>
      <w:r w:rsidR="002E6C61">
        <w:rPr>
          <w:rFonts w:ascii="Times New Roman" w:hAnsi="Times New Roman" w:cs="Times New Roman"/>
          <w:szCs w:val="24"/>
          <w:lang w:val="hr-HR"/>
        </w:rPr>
        <w:t xml:space="preserve">Tabela 1 e </w:t>
      </w:r>
      <w:r w:rsidR="002A7817">
        <w:rPr>
          <w:rFonts w:ascii="Times New Roman" w:hAnsi="Times New Roman" w:cs="Times New Roman"/>
          <w:szCs w:val="24"/>
          <w:lang w:val="hr-HR"/>
        </w:rPr>
        <w:t>Gráfico 1</w:t>
      </w:r>
      <w:r w:rsidRPr="0045016C">
        <w:rPr>
          <w:rFonts w:ascii="Times New Roman" w:hAnsi="Times New Roman" w:cs="Times New Roman"/>
          <w:szCs w:val="24"/>
          <w:lang w:val="hr-HR"/>
        </w:rPr>
        <w:t>), o que indica que quanto maior o indivíduo, mais visível ele é para as pessoas e que possibilita maior efetividade do controle populacional desta espécie.</w:t>
      </w:r>
    </w:p>
    <w:p w:rsidR="0096011E" w:rsidRDefault="0096011E" w:rsidP="002E6C6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96011E" w:rsidRDefault="0096011E" w:rsidP="002E6C6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b/>
          <w:sz w:val="22"/>
        </w:rPr>
      </w:pPr>
    </w:p>
    <w:p w:rsidR="002E6C61" w:rsidRDefault="00CE1535" w:rsidP="002E6C61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 w:val="22"/>
        </w:rPr>
      </w:pPr>
      <w:r w:rsidRPr="0045016C">
        <w:rPr>
          <w:rFonts w:ascii="Times New Roman" w:hAnsi="Times New Roman" w:cs="Times New Roman"/>
          <w:b/>
          <w:sz w:val="22"/>
        </w:rPr>
        <w:t xml:space="preserve">Tabela </w:t>
      </w:r>
      <w:r w:rsidR="002E6C61">
        <w:rPr>
          <w:rFonts w:ascii="Times New Roman" w:hAnsi="Times New Roman" w:cs="Times New Roman"/>
          <w:b/>
          <w:sz w:val="22"/>
        </w:rPr>
        <w:t>1</w:t>
      </w:r>
      <w:r w:rsidR="002E6C61" w:rsidRPr="0045016C">
        <w:rPr>
          <w:rFonts w:ascii="Times New Roman" w:hAnsi="Times New Roman" w:cs="Times New Roman"/>
          <w:sz w:val="22"/>
        </w:rPr>
        <w:t xml:space="preserve"> </w:t>
      </w:r>
      <w:r>
        <w:rPr>
          <w:rFonts w:ascii="Times New Roman" w:hAnsi="Times New Roman" w:cs="Times New Roman"/>
          <w:sz w:val="22"/>
        </w:rPr>
        <w:t xml:space="preserve">- </w:t>
      </w:r>
      <w:r w:rsidR="002E6C61" w:rsidRPr="0045016C">
        <w:rPr>
          <w:rFonts w:ascii="Times New Roman" w:hAnsi="Times New Roman" w:cs="Times New Roman"/>
          <w:sz w:val="22"/>
        </w:rPr>
        <w:t xml:space="preserve">Distribuição de Frequências com Intervalos de classes das medidas conquiológicas (em cm) de indivíduos vivos </w:t>
      </w:r>
      <w:r w:rsidR="002E6C61">
        <w:rPr>
          <w:rFonts w:ascii="Times New Roman" w:hAnsi="Times New Roman" w:cs="Times New Roman"/>
          <w:sz w:val="22"/>
        </w:rPr>
        <w:t xml:space="preserve">e mortos </w:t>
      </w:r>
      <w:r w:rsidR="002E6C61" w:rsidRPr="0045016C">
        <w:rPr>
          <w:rFonts w:ascii="Times New Roman" w:hAnsi="Times New Roman" w:cs="Times New Roman"/>
          <w:sz w:val="22"/>
        </w:rPr>
        <w:t>(Fa – Frequência, Fr – frequência relativa em porcentagem).</w:t>
      </w:r>
    </w:p>
    <w:tbl>
      <w:tblPr>
        <w:tblpPr w:leftFromText="141" w:rightFromText="141" w:vertAnchor="page" w:horzAnchor="margin" w:tblpY="6706"/>
        <w:tblW w:w="9356" w:type="dxa"/>
        <w:shd w:val="clear" w:color="auto" w:fill="FFFFFF" w:themeFill="background1"/>
        <w:tblCellMar>
          <w:left w:w="70" w:type="dxa"/>
          <w:right w:w="70" w:type="dxa"/>
        </w:tblCellMar>
        <w:tblLook w:val="04A0"/>
      </w:tblPr>
      <w:tblGrid>
        <w:gridCol w:w="2197"/>
        <w:gridCol w:w="1116"/>
        <w:gridCol w:w="1577"/>
        <w:gridCol w:w="1772"/>
        <w:gridCol w:w="1161"/>
        <w:gridCol w:w="1533"/>
      </w:tblGrid>
      <w:tr w:rsidR="002E6C61" w:rsidRPr="0045016C" w:rsidTr="00D73EDF">
        <w:trPr>
          <w:trHeight w:val="265"/>
        </w:trPr>
        <w:tc>
          <w:tcPr>
            <w:tcW w:w="4890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sz w:val="22"/>
              </w:rPr>
              <w:t>INDIVÍDUOS VIVOS</w:t>
            </w:r>
          </w:p>
        </w:tc>
        <w:tc>
          <w:tcPr>
            <w:tcW w:w="4466" w:type="dxa"/>
            <w:gridSpan w:val="3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sz w:val="22"/>
              </w:rPr>
              <w:t>INDIVÍDUOS MORTOS</w:t>
            </w:r>
          </w:p>
        </w:tc>
      </w:tr>
      <w:tr w:rsidR="002E6C61" w:rsidRPr="0045016C" w:rsidTr="00D73EDF">
        <w:trPr>
          <w:trHeight w:val="285"/>
        </w:trPr>
        <w:tc>
          <w:tcPr>
            <w:tcW w:w="2197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CLASSE</w:t>
            </w:r>
          </w:p>
        </w:tc>
        <w:tc>
          <w:tcPr>
            <w:tcW w:w="1116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Fa</w:t>
            </w:r>
          </w:p>
        </w:tc>
        <w:tc>
          <w:tcPr>
            <w:tcW w:w="1577" w:type="dxa"/>
            <w:tcBorders>
              <w:top w:val="single" w:sz="8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Fr (%)</w:t>
            </w:r>
          </w:p>
        </w:tc>
        <w:tc>
          <w:tcPr>
            <w:tcW w:w="1772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Classe</w:t>
            </w:r>
          </w:p>
        </w:tc>
        <w:tc>
          <w:tcPr>
            <w:tcW w:w="1161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Fa</w:t>
            </w:r>
          </w:p>
        </w:tc>
        <w:tc>
          <w:tcPr>
            <w:tcW w:w="1533" w:type="dxa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Fr (%)</w:t>
            </w:r>
          </w:p>
        </w:tc>
      </w:tr>
      <w:tr w:rsidR="002E6C61" w:rsidRPr="0045016C" w:rsidTr="00D73EDF">
        <w:trPr>
          <w:trHeight w:val="266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 xml:space="preserve">0 </w:t>
            </w:r>
            <w:r w:rsidRPr="0000307D">
              <w:rPr>
                <w:rFonts w:ascii="Times New Roman" w:hAnsi="Times New Roman" w:cs="Times New Roman"/>
                <w:sz w:val="22"/>
              </w:rPr>
              <w:t>l - 1,8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 xml:space="preserve">0 </w:t>
            </w:r>
            <w:r w:rsidRPr="0000307D">
              <w:rPr>
                <w:rFonts w:ascii="Times New Roman" w:hAnsi="Times New Roman" w:cs="Times New Roman"/>
                <w:sz w:val="22"/>
              </w:rPr>
              <w:t>l -  1,8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0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0</w:t>
            </w:r>
          </w:p>
        </w:tc>
      </w:tr>
      <w:tr w:rsidR="002E6C61" w:rsidRPr="0045016C" w:rsidTr="00D73EDF">
        <w:trPr>
          <w:trHeight w:val="25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1,8 l - 3,6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18,92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1,8 l  - 3,6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15,15</w:t>
            </w:r>
          </w:p>
        </w:tc>
      </w:tr>
      <w:tr w:rsidR="002E6C61" w:rsidRPr="0045016C" w:rsidTr="00D73EDF">
        <w:trPr>
          <w:trHeight w:val="25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3,6 l - 5,4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20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54,05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3,6 l  - 5,4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21,21</w:t>
            </w:r>
          </w:p>
        </w:tc>
      </w:tr>
      <w:tr w:rsidR="002E6C61" w:rsidRPr="0045016C" w:rsidTr="00D73EDF">
        <w:trPr>
          <w:trHeight w:val="314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5,4 l - 7,2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2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5,4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5,4 l  - 7,2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12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36,36</w:t>
            </w:r>
          </w:p>
        </w:tc>
      </w:tr>
      <w:tr w:rsidR="002E6C61" w:rsidRPr="0045016C" w:rsidTr="00D73EDF">
        <w:trPr>
          <w:trHeight w:val="25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7,2 l - 9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7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18,92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7,2 l - 9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5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15,15</w:t>
            </w:r>
          </w:p>
        </w:tc>
      </w:tr>
      <w:tr w:rsidR="002E6C61" w:rsidRPr="0045016C" w:rsidTr="00D73EDF">
        <w:trPr>
          <w:trHeight w:val="253"/>
        </w:trPr>
        <w:tc>
          <w:tcPr>
            <w:tcW w:w="219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9 l - 10,8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</w:t>
            </w:r>
          </w:p>
        </w:tc>
        <w:tc>
          <w:tcPr>
            <w:tcW w:w="157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2,7</w:t>
            </w:r>
          </w:p>
        </w:tc>
        <w:tc>
          <w:tcPr>
            <w:tcW w:w="1772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Cs/>
                <w:sz w:val="22"/>
              </w:rPr>
              <w:t>9 l - 10,8</w:t>
            </w:r>
          </w:p>
        </w:tc>
        <w:tc>
          <w:tcPr>
            <w:tcW w:w="1161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4</w:t>
            </w:r>
          </w:p>
        </w:tc>
        <w:tc>
          <w:tcPr>
            <w:tcW w:w="153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12,12</w:t>
            </w:r>
          </w:p>
        </w:tc>
      </w:tr>
      <w:tr w:rsidR="002E6C61" w:rsidRPr="0045016C" w:rsidTr="00D73EDF">
        <w:trPr>
          <w:trHeight w:val="253"/>
        </w:trPr>
        <w:tc>
          <w:tcPr>
            <w:tcW w:w="2197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ind w:left="1201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Total</w:t>
            </w:r>
          </w:p>
        </w:tc>
        <w:tc>
          <w:tcPr>
            <w:tcW w:w="1116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37</w:t>
            </w:r>
          </w:p>
        </w:tc>
        <w:tc>
          <w:tcPr>
            <w:tcW w:w="1577" w:type="dxa"/>
            <w:tcBorders>
              <w:top w:val="double" w:sz="6" w:space="0" w:color="000000"/>
              <w:left w:val="nil"/>
              <w:bottom w:val="single" w:sz="8" w:space="0" w:color="000000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99,99%</w:t>
            </w:r>
          </w:p>
        </w:tc>
        <w:tc>
          <w:tcPr>
            <w:tcW w:w="1772" w:type="dxa"/>
            <w:tcBorders>
              <w:top w:val="double" w:sz="6" w:space="0" w:color="000000"/>
              <w:left w:val="single" w:sz="4" w:space="0" w:color="auto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2"/>
              </w:rPr>
            </w:pPr>
            <w:r w:rsidRPr="0000307D">
              <w:rPr>
                <w:rFonts w:ascii="Times New Roman" w:hAnsi="Times New Roman" w:cs="Times New Roman"/>
                <w:b/>
                <w:bCs/>
                <w:sz w:val="22"/>
              </w:rPr>
              <w:t>Total</w:t>
            </w:r>
          </w:p>
        </w:tc>
        <w:tc>
          <w:tcPr>
            <w:tcW w:w="1161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33</w:t>
            </w:r>
          </w:p>
        </w:tc>
        <w:tc>
          <w:tcPr>
            <w:tcW w:w="1533" w:type="dxa"/>
            <w:tcBorders>
              <w:top w:val="double" w:sz="6" w:space="0" w:color="000000"/>
              <w:left w:val="nil"/>
              <w:bottom w:val="single" w:sz="8" w:space="0" w:color="000000"/>
              <w:right w:val="nil"/>
            </w:tcBorders>
            <w:shd w:val="clear" w:color="auto" w:fill="FFFFFF" w:themeFill="background1"/>
            <w:vAlign w:val="bottom"/>
          </w:tcPr>
          <w:p w:rsidR="002E6C61" w:rsidRPr="0000307D" w:rsidRDefault="002E6C61" w:rsidP="00D73EDF">
            <w:pPr>
              <w:tabs>
                <w:tab w:val="left" w:pos="993"/>
              </w:tabs>
              <w:spacing w:line="240" w:lineRule="auto"/>
              <w:jc w:val="center"/>
              <w:rPr>
                <w:rFonts w:ascii="Times New Roman" w:hAnsi="Times New Roman" w:cs="Times New Roman"/>
                <w:sz w:val="22"/>
              </w:rPr>
            </w:pPr>
            <w:r w:rsidRPr="0000307D">
              <w:rPr>
                <w:rFonts w:ascii="Times New Roman" w:hAnsi="Times New Roman" w:cs="Times New Roman"/>
                <w:sz w:val="22"/>
              </w:rPr>
              <w:t>99,99%</w:t>
            </w:r>
          </w:p>
        </w:tc>
      </w:tr>
    </w:tbl>
    <w:p w:rsidR="0078290B" w:rsidRDefault="0078290B" w:rsidP="0009501D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09501D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  <w:r w:rsidRPr="0078290B">
        <w:rPr>
          <w:rFonts w:ascii="Times New Roman" w:hAnsi="Times New Roman" w:cs="Times New Roman"/>
          <w:b/>
          <w:noProof/>
          <w:szCs w:val="24"/>
          <w:lang w:eastAsia="pt-BR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134620</wp:posOffset>
            </wp:positionH>
            <wp:positionV relativeFrom="paragraph">
              <wp:posOffset>199390</wp:posOffset>
            </wp:positionV>
            <wp:extent cx="5486400" cy="3009900"/>
            <wp:effectExtent l="19050" t="0" r="19050" b="0"/>
            <wp:wrapTight wrapText="bothSides">
              <wp:wrapPolygon edited="0">
                <wp:start x="-75" y="0"/>
                <wp:lineTo x="-75" y="21600"/>
                <wp:lineTo x="21675" y="21600"/>
                <wp:lineTo x="21675" y="0"/>
                <wp:lineTo x="-75" y="0"/>
              </wp:wrapPolygon>
            </wp:wrapTight>
            <wp:docPr id="8" name="Gráfico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anchor>
        </w:drawing>
      </w:r>
    </w:p>
    <w:p w:rsidR="0078290B" w:rsidRDefault="0078290B" w:rsidP="0009501D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09501D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78290B" w:rsidRDefault="0078290B" w:rsidP="0009501D">
      <w:pPr>
        <w:tabs>
          <w:tab w:val="left" w:pos="993"/>
        </w:tabs>
        <w:jc w:val="both"/>
        <w:rPr>
          <w:rFonts w:ascii="Times New Roman" w:hAnsi="Times New Roman" w:cs="Times New Roman"/>
          <w:b/>
          <w:szCs w:val="24"/>
        </w:rPr>
      </w:pPr>
    </w:p>
    <w:p w:rsidR="0009501D" w:rsidRPr="0045016C" w:rsidRDefault="0009501D" w:rsidP="0009501D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  <w:r w:rsidRPr="0045016C">
        <w:rPr>
          <w:rFonts w:ascii="Times New Roman" w:hAnsi="Times New Roman" w:cs="Times New Roman"/>
          <w:b/>
          <w:szCs w:val="24"/>
        </w:rPr>
        <w:t xml:space="preserve">4 CONSIDERAÇÕES FINAIS </w:t>
      </w:r>
    </w:p>
    <w:p w:rsidR="0009501D" w:rsidRPr="0045016C" w:rsidRDefault="0009501D" w:rsidP="003B54D2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09501D" w:rsidRPr="0045016C" w:rsidRDefault="0029434C" w:rsidP="003E7049">
      <w:pPr>
        <w:tabs>
          <w:tab w:val="left" w:pos="993"/>
        </w:tabs>
        <w:spacing w:line="240" w:lineRule="auto"/>
        <w:ind w:firstLine="709"/>
        <w:jc w:val="both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A presente pesquisa ainda está em andamento</w:t>
      </w:r>
      <w:r w:rsidR="003B54D2" w:rsidRPr="0045016C">
        <w:rPr>
          <w:rFonts w:ascii="Times New Roman" w:hAnsi="Times New Roman" w:cs="Times New Roman"/>
          <w:szCs w:val="24"/>
        </w:rPr>
        <w:t>.</w:t>
      </w:r>
      <w:r>
        <w:rPr>
          <w:rFonts w:ascii="Times New Roman" w:hAnsi="Times New Roman" w:cs="Times New Roman"/>
          <w:szCs w:val="24"/>
        </w:rPr>
        <w:t xml:space="preserve"> Excepcionalmente este ano</w:t>
      </w:r>
      <w:r w:rsidR="00B3656A">
        <w:rPr>
          <w:rFonts w:ascii="Times New Roman" w:hAnsi="Times New Roman" w:cs="Times New Roman"/>
          <w:szCs w:val="24"/>
        </w:rPr>
        <w:t xml:space="preserve"> de 2017</w:t>
      </w:r>
      <w:r>
        <w:rPr>
          <w:rFonts w:ascii="Times New Roman" w:hAnsi="Times New Roman" w:cs="Times New Roman"/>
          <w:szCs w:val="24"/>
        </w:rPr>
        <w:t xml:space="preserve">, verificou-se uma visível diminuição da população, através da ausência ou diminuição de indivíduos em locais em já se haviam observados uma </w:t>
      </w:r>
      <w:r w:rsidR="00B3656A">
        <w:rPr>
          <w:rFonts w:ascii="Times New Roman" w:hAnsi="Times New Roman" w:cs="Times New Roman"/>
          <w:szCs w:val="24"/>
        </w:rPr>
        <w:t xml:space="preserve">densidade </w:t>
      </w:r>
      <w:r>
        <w:rPr>
          <w:rFonts w:ascii="Times New Roman" w:hAnsi="Times New Roman" w:cs="Times New Roman"/>
          <w:szCs w:val="24"/>
        </w:rPr>
        <w:t>popula</w:t>
      </w:r>
      <w:r w:rsidR="00B3656A">
        <w:rPr>
          <w:rFonts w:ascii="Times New Roman" w:hAnsi="Times New Roman" w:cs="Times New Roman"/>
          <w:szCs w:val="24"/>
        </w:rPr>
        <w:t>cional</w:t>
      </w:r>
      <w:r>
        <w:rPr>
          <w:rFonts w:ascii="Times New Roman" w:hAnsi="Times New Roman" w:cs="Times New Roman"/>
          <w:szCs w:val="24"/>
        </w:rPr>
        <w:t xml:space="preserve"> mais numerosa.</w:t>
      </w:r>
      <w:r w:rsidR="003B54D2" w:rsidRPr="0045016C">
        <w:rPr>
          <w:rFonts w:ascii="Times New Roman" w:hAnsi="Times New Roman" w:cs="Times New Roman"/>
          <w:szCs w:val="24"/>
        </w:rPr>
        <w:t xml:space="preserve"> No </w:t>
      </w:r>
      <w:r w:rsidR="003E7049" w:rsidRPr="0045016C">
        <w:rPr>
          <w:rFonts w:ascii="Times New Roman" w:hAnsi="Times New Roman" w:cs="Times New Roman"/>
          <w:szCs w:val="24"/>
        </w:rPr>
        <w:t>entanto</w:t>
      </w:r>
      <w:r w:rsidR="003E7049">
        <w:rPr>
          <w:rFonts w:ascii="Times New Roman" w:hAnsi="Times New Roman" w:cs="Times New Roman"/>
          <w:szCs w:val="24"/>
        </w:rPr>
        <w:t xml:space="preserve">, </w:t>
      </w:r>
      <w:r w:rsidR="00806230">
        <w:rPr>
          <w:rFonts w:ascii="Times New Roman" w:hAnsi="Times New Roman" w:cs="Times New Roman"/>
          <w:szCs w:val="24"/>
        </w:rPr>
        <w:t>contatou</w:t>
      </w:r>
      <w:r w:rsidR="00B3656A">
        <w:rPr>
          <w:rFonts w:ascii="Times New Roman" w:hAnsi="Times New Roman" w:cs="Times New Roman"/>
          <w:szCs w:val="24"/>
        </w:rPr>
        <w:t>-se</w:t>
      </w:r>
      <w:r w:rsidR="003B54D2" w:rsidRPr="0045016C">
        <w:rPr>
          <w:rFonts w:ascii="Times New Roman" w:hAnsi="Times New Roman" w:cs="Times New Roman"/>
          <w:szCs w:val="24"/>
        </w:rPr>
        <w:t xml:space="preserve"> que com chuva em exce</w:t>
      </w:r>
      <w:r w:rsidR="0009501D" w:rsidRPr="0045016C">
        <w:rPr>
          <w:rFonts w:ascii="Times New Roman" w:hAnsi="Times New Roman" w:cs="Times New Roman"/>
          <w:szCs w:val="24"/>
        </w:rPr>
        <w:t>sso</w:t>
      </w:r>
      <w:r>
        <w:rPr>
          <w:rFonts w:ascii="Times New Roman" w:hAnsi="Times New Roman" w:cs="Times New Roman"/>
          <w:szCs w:val="24"/>
        </w:rPr>
        <w:t>,</w:t>
      </w:r>
      <w:r w:rsidR="0009501D" w:rsidRPr="0045016C">
        <w:rPr>
          <w:rFonts w:ascii="Times New Roman" w:hAnsi="Times New Roman" w:cs="Times New Roman"/>
          <w:szCs w:val="24"/>
        </w:rPr>
        <w:t xml:space="preserve"> os caramujos tendem a subir </w:t>
      </w:r>
      <w:r w:rsidR="003B54D2" w:rsidRPr="0045016C">
        <w:rPr>
          <w:rFonts w:ascii="Times New Roman" w:hAnsi="Times New Roman" w:cs="Times New Roman"/>
          <w:szCs w:val="24"/>
        </w:rPr>
        <w:t xml:space="preserve">em muros </w:t>
      </w:r>
      <w:r w:rsidR="0009501D" w:rsidRPr="0045016C">
        <w:rPr>
          <w:rFonts w:ascii="Times New Roman" w:hAnsi="Times New Roman" w:cs="Times New Roman"/>
          <w:szCs w:val="24"/>
        </w:rPr>
        <w:t>ou paredes de</w:t>
      </w:r>
      <w:r w:rsidR="003B54D2" w:rsidRPr="0045016C">
        <w:rPr>
          <w:rFonts w:ascii="Times New Roman" w:hAnsi="Times New Roman" w:cs="Times New Roman"/>
          <w:szCs w:val="24"/>
        </w:rPr>
        <w:t xml:space="preserve"> residências na tentativa de buscar abrigo, ficando assim mais expostos e menos </w:t>
      </w:r>
      <w:r w:rsidR="003E7049" w:rsidRPr="0045016C">
        <w:rPr>
          <w:rFonts w:ascii="Times New Roman" w:hAnsi="Times New Roman" w:cs="Times New Roman"/>
          <w:szCs w:val="24"/>
        </w:rPr>
        <w:t xml:space="preserve">protegidos. </w:t>
      </w:r>
      <w:r w:rsidR="003B54D2" w:rsidRPr="0045016C">
        <w:rPr>
          <w:rFonts w:ascii="Times New Roman" w:hAnsi="Times New Roman" w:cs="Times New Roman"/>
          <w:szCs w:val="24"/>
        </w:rPr>
        <w:t>As saídas de campo mostraram que locais como terrenos baldios com entulhos, casas fechadas, locais com acúmulo de matéria orgânica e possíveis abrigos favorecem o desenvolvimento da espécie, que se alastra para as localidades vizinhas ocasionando invasões dos domicílios.</w:t>
      </w:r>
      <w:r w:rsidR="0009501D" w:rsidRPr="0045016C">
        <w:rPr>
          <w:rFonts w:ascii="Times New Roman" w:hAnsi="Times New Roman" w:cs="Times New Roman"/>
          <w:szCs w:val="24"/>
        </w:rPr>
        <w:t xml:space="preserve"> Para a conclusão da pesquisa ainda é necessário mais tempo de observação e acompanhamento em campo, assim como a verificação das demais áreas da cidade</w:t>
      </w:r>
      <w:r w:rsidR="00FD4FA1" w:rsidRPr="0045016C">
        <w:rPr>
          <w:rFonts w:ascii="Times New Roman" w:hAnsi="Times New Roman" w:cs="Times New Roman"/>
          <w:szCs w:val="24"/>
        </w:rPr>
        <w:t xml:space="preserve"> e aplicação </w:t>
      </w:r>
      <w:r w:rsidR="00B121EA" w:rsidRPr="0045016C">
        <w:rPr>
          <w:rFonts w:ascii="Times New Roman" w:hAnsi="Times New Roman" w:cs="Times New Roman"/>
          <w:szCs w:val="24"/>
        </w:rPr>
        <w:t>d</w:t>
      </w:r>
      <w:r w:rsidR="00B121EA">
        <w:rPr>
          <w:rFonts w:ascii="Times New Roman" w:hAnsi="Times New Roman" w:cs="Times New Roman"/>
          <w:szCs w:val="24"/>
        </w:rPr>
        <w:t>e</w:t>
      </w:r>
      <w:r w:rsidR="00E2348E">
        <w:rPr>
          <w:rFonts w:ascii="Times New Roman" w:hAnsi="Times New Roman" w:cs="Times New Roman"/>
          <w:szCs w:val="24"/>
        </w:rPr>
        <w:t xml:space="preserve"> </w:t>
      </w:r>
      <w:r w:rsidR="00FD4FA1" w:rsidRPr="0045016C">
        <w:rPr>
          <w:rFonts w:ascii="Times New Roman" w:hAnsi="Times New Roman" w:cs="Times New Roman"/>
          <w:szCs w:val="24"/>
        </w:rPr>
        <w:t>questionário</w:t>
      </w:r>
      <w:r w:rsidR="00E2348E">
        <w:rPr>
          <w:rFonts w:ascii="Times New Roman" w:hAnsi="Times New Roman" w:cs="Times New Roman"/>
          <w:szCs w:val="24"/>
        </w:rPr>
        <w:t xml:space="preserve"> </w:t>
      </w:r>
      <w:r w:rsidR="002E6C61">
        <w:rPr>
          <w:rFonts w:ascii="Times New Roman" w:hAnsi="Times New Roman" w:cs="Times New Roman"/>
          <w:szCs w:val="24"/>
        </w:rPr>
        <w:t>para</w:t>
      </w:r>
      <w:r w:rsidR="00B121EA">
        <w:rPr>
          <w:rFonts w:ascii="Times New Roman" w:hAnsi="Times New Roman" w:cs="Times New Roman"/>
          <w:szCs w:val="24"/>
        </w:rPr>
        <w:t xml:space="preserve"> os moradores</w:t>
      </w:r>
      <w:r w:rsidR="0009501D" w:rsidRPr="0045016C">
        <w:rPr>
          <w:rFonts w:ascii="Times New Roman" w:hAnsi="Times New Roman" w:cs="Times New Roman"/>
          <w:szCs w:val="24"/>
        </w:rPr>
        <w:t xml:space="preserve">. </w:t>
      </w:r>
    </w:p>
    <w:p w:rsidR="00425253" w:rsidRPr="0045016C" w:rsidRDefault="00425253" w:rsidP="0009501D">
      <w:pPr>
        <w:tabs>
          <w:tab w:val="left" w:pos="993"/>
        </w:tabs>
        <w:ind w:firstLine="709"/>
        <w:jc w:val="both"/>
        <w:rPr>
          <w:rFonts w:ascii="Times New Roman" w:hAnsi="Times New Roman" w:cs="Times New Roman"/>
          <w:szCs w:val="24"/>
        </w:rPr>
      </w:pPr>
    </w:p>
    <w:p w:rsidR="00B822BB" w:rsidRPr="00806230" w:rsidRDefault="00B822BB" w:rsidP="00B822BB">
      <w:pPr>
        <w:spacing w:before="12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2"/>
        </w:rPr>
      </w:pPr>
      <w:r w:rsidRPr="00806230">
        <w:rPr>
          <w:rFonts w:ascii="Times New Roman" w:eastAsia="Calibri" w:hAnsi="Times New Roman" w:cs="Times New Roman"/>
          <w:b/>
          <w:color w:val="000000" w:themeColor="text1"/>
          <w:sz w:val="22"/>
        </w:rPr>
        <w:t>REFERÊNCIAS</w:t>
      </w:r>
    </w:p>
    <w:p w:rsidR="00B822BB" w:rsidRPr="00806230" w:rsidRDefault="00B822BB" w:rsidP="00D14DC8">
      <w:pPr>
        <w:spacing w:before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18"/>
        </w:rPr>
      </w:pPr>
    </w:p>
    <w:p w:rsidR="00D14DC8" w:rsidRPr="0045016C" w:rsidRDefault="00D14DC8" w:rsidP="00D14DC8">
      <w:pPr>
        <w:tabs>
          <w:tab w:val="left" w:pos="284"/>
          <w:tab w:val="left" w:pos="567"/>
          <w:tab w:val="left" w:pos="851"/>
        </w:tabs>
        <w:spacing w:before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</w:rPr>
      </w:pP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BARNES, R. D; RUPPERT, E. E. </w:t>
      </w:r>
      <w:r w:rsidRPr="0045016C">
        <w:rPr>
          <w:rFonts w:ascii="Times New Roman" w:eastAsia="Calibri" w:hAnsi="Times New Roman" w:cs="Times New Roman"/>
          <w:b/>
          <w:color w:val="000000" w:themeColor="text1"/>
          <w:sz w:val="22"/>
        </w:rPr>
        <w:t>Zoologia dos Invertebrados.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 6a ed., São Paulo: Roca, 1996, p. 1012. </w:t>
      </w:r>
    </w:p>
    <w:p w:rsidR="00D14DC8" w:rsidRPr="0045016C" w:rsidRDefault="00D14DC8" w:rsidP="00D14DC8">
      <w:pPr>
        <w:spacing w:before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</w:rPr>
      </w:pP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SIMIÃO, M. S.; FISHER, M. L. Estimativa e inferência do método de controle do molusco exótico </w:t>
      </w:r>
      <w:r w:rsidRPr="0045016C">
        <w:rPr>
          <w:rFonts w:ascii="Times New Roman" w:eastAsia="Calibri" w:hAnsi="Times New Roman" w:cs="Times New Roman"/>
          <w:i/>
          <w:color w:val="000000" w:themeColor="text1"/>
          <w:sz w:val="22"/>
        </w:rPr>
        <w:t>Achatinafulica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Bowdich, 1822 (Stylommatophora; Achatinidae) em Pontal do Paraná, litoral do Estado do Paraná. </w:t>
      </w:r>
      <w:r w:rsidRPr="0045016C">
        <w:rPr>
          <w:rFonts w:ascii="Times New Roman" w:eastAsia="Calibri" w:hAnsi="Times New Roman" w:cs="Times New Roman"/>
          <w:b/>
          <w:color w:val="000000" w:themeColor="text1"/>
          <w:sz w:val="22"/>
        </w:rPr>
        <w:t>Cadernos de Biodiversidade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>, Curitiba, v. 4, p. 74-83, 2004.</w:t>
      </w:r>
    </w:p>
    <w:p w:rsidR="00D14DC8" w:rsidRPr="0045016C" w:rsidRDefault="00D14DC8" w:rsidP="00D14DC8">
      <w:pPr>
        <w:spacing w:before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</w:rPr>
      </w:pP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THIENGO, S. C. et al. </w:t>
      </w:r>
      <w:r w:rsidRPr="0045016C">
        <w:rPr>
          <w:rFonts w:ascii="Times New Roman" w:eastAsia="Calibri" w:hAnsi="Times New Roman" w:cs="Times New Roman"/>
          <w:b/>
          <w:color w:val="000000" w:themeColor="text1"/>
          <w:sz w:val="22"/>
        </w:rPr>
        <w:t xml:space="preserve">Moluscos exóticos com importância médica no Brasil, </w:t>
      </w:r>
      <w:r w:rsidR="00A75110">
        <w:rPr>
          <w:rFonts w:ascii="Times New Roman" w:eastAsia="Calibri" w:hAnsi="Times New Roman" w:cs="Times New Roman"/>
          <w:color w:val="000000" w:themeColor="text1"/>
          <w:sz w:val="22"/>
        </w:rPr>
        <w:t xml:space="preserve">2010 Disponível em: </w:t>
      </w:r>
      <w:hyperlink r:id="rId11" w:history="1">
        <w:r w:rsidR="00A75110" w:rsidRPr="00FB77AA">
          <w:rPr>
            <w:rStyle w:val="Hyperlink"/>
            <w:rFonts w:ascii="Times New Roman" w:eastAsia="Calibri" w:hAnsi="Times New Roman" w:cs="Times New Roman"/>
            <w:sz w:val="22"/>
          </w:rPr>
          <w:t>http://www.mma.gov.br/estruturas/174/_arquivos/174_05122008104832.pdf</w:t>
        </w:r>
      </w:hyperlink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 acesso em 20 de Outubro de 2016.</w:t>
      </w:r>
    </w:p>
    <w:p w:rsidR="00D14DC8" w:rsidRPr="0045016C" w:rsidRDefault="00D14DC8" w:rsidP="00D14DC8">
      <w:pPr>
        <w:spacing w:before="12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2"/>
        </w:rPr>
      </w:pPr>
      <w:r w:rsidRPr="0045016C">
        <w:rPr>
          <w:rFonts w:ascii="Times New Roman" w:eastAsia="Calibri" w:hAnsi="Times New Roman" w:cs="Times New Roman"/>
          <w:color w:val="000000" w:themeColor="text1"/>
          <w:sz w:val="22"/>
          <w:lang w:val="en-US"/>
        </w:rPr>
        <w:t xml:space="preserve">THIENGO, S. C.; FARACO, F. A.; SALGADO, N. C.; COWIE, R. H.; FERNANDEZ, M. A. Rapid spread of an invasive snail in South America: the giant African snail, </w:t>
      </w:r>
      <w:r w:rsidRPr="0045016C">
        <w:rPr>
          <w:rFonts w:ascii="Times New Roman" w:eastAsia="Calibri" w:hAnsi="Times New Roman" w:cs="Times New Roman"/>
          <w:i/>
          <w:color w:val="000000" w:themeColor="text1"/>
          <w:sz w:val="22"/>
          <w:lang w:val="en-US"/>
        </w:rPr>
        <w:t>Achatinafulica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  <w:lang w:val="en-US"/>
        </w:rPr>
        <w:t xml:space="preserve">, in Brazil. </w:t>
      </w:r>
      <w:r w:rsidRPr="0045016C">
        <w:rPr>
          <w:rFonts w:ascii="Times New Roman" w:eastAsia="Calibri" w:hAnsi="Times New Roman" w:cs="Times New Roman"/>
          <w:b/>
          <w:color w:val="000000" w:themeColor="text1"/>
          <w:sz w:val="22"/>
        </w:rPr>
        <w:t>BiologicalInvasions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>, Dordrecht, v. 4, n. 1, p. 1-10, 2007.</w:t>
      </w:r>
    </w:p>
    <w:p w:rsidR="00D14DC8" w:rsidRPr="0045016C" w:rsidRDefault="00D14DC8" w:rsidP="00D14DC8">
      <w:pPr>
        <w:spacing w:before="120" w:line="240" w:lineRule="auto"/>
        <w:jc w:val="both"/>
        <w:rPr>
          <w:rFonts w:ascii="Times New Roman" w:hAnsi="Times New Roman" w:cs="Times New Roman"/>
          <w:color w:val="000000" w:themeColor="text1"/>
          <w:sz w:val="22"/>
        </w:rPr>
      </w:pP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VASCONCELLOS, M.C; EDWIN, P. Ocorrência de </w:t>
      </w:r>
      <w:r w:rsidRPr="0045016C">
        <w:rPr>
          <w:rFonts w:ascii="Times New Roman" w:eastAsia="Calibri" w:hAnsi="Times New Roman" w:cs="Times New Roman"/>
          <w:i/>
          <w:iCs/>
          <w:color w:val="000000" w:themeColor="text1"/>
          <w:sz w:val="22"/>
        </w:rPr>
        <w:t>Achatinafulica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 xml:space="preserve"> no Vale do Paraíba, Estado do Rio de Janeiro, Brasil. </w:t>
      </w:r>
      <w:r w:rsidRPr="0045016C">
        <w:rPr>
          <w:rFonts w:ascii="Times New Roman" w:eastAsia="Calibri" w:hAnsi="Times New Roman" w:cs="Times New Roman"/>
          <w:b/>
          <w:color w:val="000000" w:themeColor="text1"/>
          <w:sz w:val="22"/>
        </w:rPr>
        <w:t>Rev. Saúde Pública,</w:t>
      </w:r>
      <w:r w:rsidRPr="0045016C">
        <w:rPr>
          <w:rFonts w:ascii="Times New Roman" w:eastAsia="Calibri" w:hAnsi="Times New Roman" w:cs="Times New Roman"/>
          <w:color w:val="000000" w:themeColor="text1"/>
          <w:sz w:val="22"/>
        </w:rPr>
        <w:t> São Paulo, v.35, n.6, 2001.</w:t>
      </w:r>
    </w:p>
    <w:p w:rsidR="00D14DC8" w:rsidRPr="0045016C" w:rsidRDefault="00D14DC8" w:rsidP="00D14DC8">
      <w:pPr>
        <w:tabs>
          <w:tab w:val="left" w:pos="284"/>
          <w:tab w:val="left" w:pos="567"/>
          <w:tab w:val="left" w:pos="851"/>
        </w:tabs>
        <w:jc w:val="both"/>
        <w:rPr>
          <w:rFonts w:ascii="Times New Roman" w:eastAsia="Calibri" w:hAnsi="Times New Roman" w:cs="Times New Roman"/>
          <w:color w:val="000000" w:themeColor="text1"/>
        </w:rPr>
      </w:pPr>
    </w:p>
    <w:p w:rsidR="0009501D" w:rsidRPr="0045016C" w:rsidRDefault="0009501D" w:rsidP="00D14DC8">
      <w:pPr>
        <w:tabs>
          <w:tab w:val="left" w:pos="993"/>
        </w:tabs>
        <w:jc w:val="both"/>
        <w:rPr>
          <w:rFonts w:ascii="Times New Roman" w:hAnsi="Times New Roman" w:cs="Times New Roman"/>
          <w:szCs w:val="24"/>
        </w:rPr>
      </w:pPr>
    </w:p>
    <w:sectPr w:rsidR="0009501D" w:rsidRPr="0045016C" w:rsidSect="00425253">
      <w:headerReference w:type="default" r:id="rId12"/>
      <w:pgSz w:w="11906" w:h="16838"/>
      <w:pgMar w:top="1701" w:right="1134" w:bottom="1134" w:left="1701" w:header="709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D6D3C" w:rsidRDefault="009D6D3C" w:rsidP="009300B8">
      <w:pPr>
        <w:spacing w:line="240" w:lineRule="auto"/>
      </w:pPr>
      <w:r>
        <w:separator/>
      </w:r>
    </w:p>
  </w:endnote>
  <w:endnote w:type="continuationSeparator" w:id="1">
    <w:p w:rsidR="009D6D3C" w:rsidRDefault="009D6D3C" w:rsidP="009300B8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D6D3C" w:rsidRDefault="009D6D3C" w:rsidP="009300B8">
      <w:pPr>
        <w:spacing w:line="240" w:lineRule="auto"/>
      </w:pPr>
      <w:r>
        <w:separator/>
      </w:r>
    </w:p>
  </w:footnote>
  <w:footnote w:type="continuationSeparator" w:id="1">
    <w:p w:rsidR="009D6D3C" w:rsidRDefault="009D6D3C" w:rsidP="009300B8">
      <w:pPr>
        <w:spacing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300B8" w:rsidRPr="009300B8" w:rsidRDefault="009300B8" w:rsidP="009300B8">
    <w:pPr>
      <w:pStyle w:val="Cabealho"/>
      <w:jc w:val="center"/>
      <w:rPr>
        <w:rFonts w:ascii="Times New Roman" w:hAnsi="Times New Roman" w:cs="Times New Roman"/>
        <w:sz w:val="22"/>
      </w:rPr>
    </w:pPr>
    <w:r w:rsidRPr="009300B8">
      <w:rPr>
        <w:rFonts w:ascii="Times New Roman" w:hAnsi="Times New Roman" w:cs="Times New Roman"/>
        <w:noProof/>
        <w:sz w:val="22"/>
        <w:lang w:eastAsia="pt-BR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80678</wp:posOffset>
          </wp:positionH>
          <wp:positionV relativeFrom="paragraph">
            <wp:posOffset>-92710</wp:posOffset>
          </wp:positionV>
          <wp:extent cx="342900" cy="658831"/>
          <wp:effectExtent l="19050" t="0" r="0" b="0"/>
          <wp:wrapNone/>
          <wp:docPr id="7" name="Imagem 7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6588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9300B8">
      <w:rPr>
        <w:rFonts w:ascii="Times New Roman" w:hAnsi="Times New Roman" w:cs="Times New Roman"/>
        <w:sz w:val="22"/>
      </w:rPr>
      <w:t>VII Seminário de Iniciação Científica do Litoral Norte – 19/10/2017</w:t>
    </w:r>
  </w:p>
  <w:p w:rsidR="009300B8" w:rsidRPr="009300B8" w:rsidRDefault="009300B8" w:rsidP="009300B8">
    <w:pPr>
      <w:pStyle w:val="Cabealho"/>
      <w:jc w:val="center"/>
      <w:rPr>
        <w:rFonts w:ascii="Times New Roman" w:hAnsi="Times New Roman" w:cs="Times New Roman"/>
        <w:sz w:val="22"/>
        <w:u w:val="single"/>
      </w:rPr>
    </w:pPr>
    <w:r w:rsidRPr="009300B8">
      <w:rPr>
        <w:rFonts w:ascii="Times New Roman" w:hAnsi="Times New Roman" w:cs="Times New Roman"/>
        <w:sz w:val="22"/>
      </w:rPr>
      <w:t>SemanaNacional de Ciência e Tecnologia 2017</w:t>
    </w:r>
  </w:p>
  <w:p w:rsidR="009300B8" w:rsidRPr="009300B8" w:rsidRDefault="009300B8" w:rsidP="009300B8">
    <w:pPr>
      <w:pStyle w:val="Cabealh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E4F4D"/>
    <w:multiLevelType w:val="hybridMultilevel"/>
    <w:tmpl w:val="FE90998E"/>
    <w:lvl w:ilvl="0" w:tplc="70EC6A78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>
    <w:nsid w:val="1ED62D54"/>
    <w:multiLevelType w:val="hybridMultilevel"/>
    <w:tmpl w:val="B52A78E0"/>
    <w:lvl w:ilvl="0" w:tplc="9D7C0B96">
      <w:start w:val="1"/>
      <w:numFmt w:val="decimal"/>
      <w:pStyle w:val="Subttulo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5BB3EFE"/>
    <w:multiLevelType w:val="hybridMultilevel"/>
    <w:tmpl w:val="DC3EDDD6"/>
    <w:lvl w:ilvl="0" w:tplc="589CC4B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806FE2"/>
    <w:multiLevelType w:val="hybridMultilevel"/>
    <w:tmpl w:val="E8F47DF8"/>
    <w:lvl w:ilvl="0" w:tplc="CB480A60">
      <w:start w:val="1"/>
      <w:numFmt w:val="decimal"/>
      <w:pStyle w:val="Ttulo1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2EF28EB"/>
    <w:multiLevelType w:val="hybridMultilevel"/>
    <w:tmpl w:val="DD30145E"/>
    <w:lvl w:ilvl="0" w:tplc="F8D0F1E6">
      <w:start w:val="1"/>
      <w:numFmt w:val="decimal"/>
      <w:lvlText w:val="%1."/>
      <w:lvlJc w:val="left"/>
      <w:pPr>
        <w:ind w:left="1571" w:hanging="360"/>
      </w:pPr>
    </w:lvl>
    <w:lvl w:ilvl="1" w:tplc="04160019" w:tentative="1">
      <w:start w:val="1"/>
      <w:numFmt w:val="lowerLetter"/>
      <w:lvlText w:val="%2."/>
      <w:lvlJc w:val="left"/>
      <w:pPr>
        <w:ind w:left="2291" w:hanging="360"/>
      </w:pPr>
    </w:lvl>
    <w:lvl w:ilvl="2" w:tplc="0416001B" w:tentative="1">
      <w:start w:val="1"/>
      <w:numFmt w:val="lowerRoman"/>
      <w:lvlText w:val="%3."/>
      <w:lvlJc w:val="right"/>
      <w:pPr>
        <w:ind w:left="3011" w:hanging="180"/>
      </w:pPr>
    </w:lvl>
    <w:lvl w:ilvl="3" w:tplc="0416000F" w:tentative="1">
      <w:start w:val="1"/>
      <w:numFmt w:val="decimal"/>
      <w:lvlText w:val="%4."/>
      <w:lvlJc w:val="left"/>
      <w:pPr>
        <w:ind w:left="3731" w:hanging="360"/>
      </w:pPr>
    </w:lvl>
    <w:lvl w:ilvl="4" w:tplc="04160019" w:tentative="1">
      <w:start w:val="1"/>
      <w:numFmt w:val="lowerLetter"/>
      <w:lvlText w:val="%5."/>
      <w:lvlJc w:val="left"/>
      <w:pPr>
        <w:ind w:left="4451" w:hanging="360"/>
      </w:pPr>
    </w:lvl>
    <w:lvl w:ilvl="5" w:tplc="0416001B" w:tentative="1">
      <w:start w:val="1"/>
      <w:numFmt w:val="lowerRoman"/>
      <w:lvlText w:val="%6."/>
      <w:lvlJc w:val="right"/>
      <w:pPr>
        <w:ind w:left="5171" w:hanging="180"/>
      </w:pPr>
    </w:lvl>
    <w:lvl w:ilvl="6" w:tplc="0416000F" w:tentative="1">
      <w:start w:val="1"/>
      <w:numFmt w:val="decimal"/>
      <w:lvlText w:val="%7."/>
      <w:lvlJc w:val="left"/>
      <w:pPr>
        <w:ind w:left="5891" w:hanging="360"/>
      </w:pPr>
    </w:lvl>
    <w:lvl w:ilvl="7" w:tplc="04160019" w:tentative="1">
      <w:start w:val="1"/>
      <w:numFmt w:val="lowerLetter"/>
      <w:lvlText w:val="%8."/>
      <w:lvlJc w:val="left"/>
      <w:pPr>
        <w:ind w:left="6611" w:hanging="360"/>
      </w:pPr>
    </w:lvl>
    <w:lvl w:ilvl="8" w:tplc="0416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">
    <w:nsid w:val="6B363811"/>
    <w:multiLevelType w:val="hybridMultilevel"/>
    <w:tmpl w:val="44D03BBE"/>
    <w:lvl w:ilvl="0" w:tplc="62E8E766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4E6E24"/>
    <w:multiLevelType w:val="hybridMultilevel"/>
    <w:tmpl w:val="C5142C48"/>
    <w:lvl w:ilvl="0" w:tplc="8F3A3028">
      <w:start w:val="1"/>
      <w:numFmt w:val="decimal"/>
      <w:pStyle w:val="Ttulo2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3"/>
  </w:num>
  <w:num w:numId="6">
    <w:abstractNumId w:val="6"/>
  </w:num>
  <w:num w:numId="7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ctiveWritingStyle w:appName="MSWord" w:lang="pt-BR" w:vendorID="64" w:dllVersion="131078" w:nlCheck="1" w:checkStyle="0"/>
  <w:activeWritingStyle w:appName="MSWord" w:lang="en-US" w:vendorID="64" w:dllVersion="131078" w:nlCheck="1" w:checkStyle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9300B8"/>
    <w:rsid w:val="0000307D"/>
    <w:rsid w:val="00006C9E"/>
    <w:rsid w:val="0006613D"/>
    <w:rsid w:val="00080DA9"/>
    <w:rsid w:val="0009501D"/>
    <w:rsid w:val="000B5853"/>
    <w:rsid w:val="000F18F3"/>
    <w:rsid w:val="00140A7D"/>
    <w:rsid w:val="00142456"/>
    <w:rsid w:val="00152D24"/>
    <w:rsid w:val="001864C8"/>
    <w:rsid w:val="00193423"/>
    <w:rsid w:val="001C2FB2"/>
    <w:rsid w:val="001D5F2A"/>
    <w:rsid w:val="001F268D"/>
    <w:rsid w:val="00205AE9"/>
    <w:rsid w:val="00206678"/>
    <w:rsid w:val="00261CBE"/>
    <w:rsid w:val="0029434C"/>
    <w:rsid w:val="002A7817"/>
    <w:rsid w:val="002D2726"/>
    <w:rsid w:val="002E6C61"/>
    <w:rsid w:val="002F15EA"/>
    <w:rsid w:val="003228D8"/>
    <w:rsid w:val="003348F0"/>
    <w:rsid w:val="00354E9E"/>
    <w:rsid w:val="00365113"/>
    <w:rsid w:val="003B54D2"/>
    <w:rsid w:val="003D114C"/>
    <w:rsid w:val="003E7049"/>
    <w:rsid w:val="004028B4"/>
    <w:rsid w:val="00425253"/>
    <w:rsid w:val="004331F0"/>
    <w:rsid w:val="0043745C"/>
    <w:rsid w:val="0045016C"/>
    <w:rsid w:val="0048131A"/>
    <w:rsid w:val="004834FA"/>
    <w:rsid w:val="004D52A0"/>
    <w:rsid w:val="004E1390"/>
    <w:rsid w:val="00500100"/>
    <w:rsid w:val="005150CF"/>
    <w:rsid w:val="005267F2"/>
    <w:rsid w:val="005D1FDF"/>
    <w:rsid w:val="005E4B65"/>
    <w:rsid w:val="00666984"/>
    <w:rsid w:val="00682D91"/>
    <w:rsid w:val="00710E63"/>
    <w:rsid w:val="0071701F"/>
    <w:rsid w:val="007227A4"/>
    <w:rsid w:val="0074069E"/>
    <w:rsid w:val="00742E50"/>
    <w:rsid w:val="00746793"/>
    <w:rsid w:val="007571B4"/>
    <w:rsid w:val="0078290B"/>
    <w:rsid w:val="00806230"/>
    <w:rsid w:val="0080750E"/>
    <w:rsid w:val="00807FF0"/>
    <w:rsid w:val="008A452C"/>
    <w:rsid w:val="008B76A1"/>
    <w:rsid w:val="008E4BF5"/>
    <w:rsid w:val="008E6295"/>
    <w:rsid w:val="008F15A4"/>
    <w:rsid w:val="009300B8"/>
    <w:rsid w:val="0096011E"/>
    <w:rsid w:val="009A5D64"/>
    <w:rsid w:val="009C23F3"/>
    <w:rsid w:val="009D1B8B"/>
    <w:rsid w:val="009D6D3C"/>
    <w:rsid w:val="009E183B"/>
    <w:rsid w:val="009F2F2F"/>
    <w:rsid w:val="00A2659C"/>
    <w:rsid w:val="00A43F2A"/>
    <w:rsid w:val="00A75110"/>
    <w:rsid w:val="00A955CD"/>
    <w:rsid w:val="00AA3CD3"/>
    <w:rsid w:val="00AB4197"/>
    <w:rsid w:val="00AD72D3"/>
    <w:rsid w:val="00B121EA"/>
    <w:rsid w:val="00B150B3"/>
    <w:rsid w:val="00B3656A"/>
    <w:rsid w:val="00B44043"/>
    <w:rsid w:val="00B54296"/>
    <w:rsid w:val="00B822BB"/>
    <w:rsid w:val="00BB2177"/>
    <w:rsid w:val="00BE0E7E"/>
    <w:rsid w:val="00BF1FCA"/>
    <w:rsid w:val="00C31A56"/>
    <w:rsid w:val="00C32D22"/>
    <w:rsid w:val="00C532E8"/>
    <w:rsid w:val="00CB4C85"/>
    <w:rsid w:val="00CE1535"/>
    <w:rsid w:val="00CF763E"/>
    <w:rsid w:val="00D14DC8"/>
    <w:rsid w:val="00D652C6"/>
    <w:rsid w:val="00D73EDF"/>
    <w:rsid w:val="00D926CA"/>
    <w:rsid w:val="00E2348E"/>
    <w:rsid w:val="00E37578"/>
    <w:rsid w:val="00E52BC4"/>
    <w:rsid w:val="00E76DC5"/>
    <w:rsid w:val="00EA5BFF"/>
    <w:rsid w:val="00F4181A"/>
    <w:rsid w:val="00F51E52"/>
    <w:rsid w:val="00FD4FA1"/>
    <w:rsid w:val="00FF251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theme="minorBidi"/>
        <w:sz w:val="24"/>
        <w:szCs w:val="22"/>
        <w:lang w:val="pt-BR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42456"/>
  </w:style>
  <w:style w:type="paragraph" w:styleId="Ttulo1">
    <w:name w:val="heading 1"/>
    <w:basedOn w:val="Normal"/>
    <w:next w:val="Normal"/>
    <w:link w:val="Ttulo1Char"/>
    <w:uiPriority w:val="9"/>
    <w:qFormat/>
    <w:rsid w:val="008A452C"/>
    <w:pPr>
      <w:keepNext/>
      <w:keepLines/>
      <w:numPr>
        <w:numId w:val="5"/>
      </w:numPr>
      <w:spacing w:before="240"/>
      <w:outlineLvl w:val="0"/>
    </w:pPr>
    <w:rPr>
      <w:rFonts w:eastAsiaTheme="majorEastAsia" w:cstheme="majorBidi"/>
      <w:b/>
      <w:bCs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8A452C"/>
    <w:pPr>
      <w:keepNext/>
      <w:keepLines/>
      <w:numPr>
        <w:numId w:val="6"/>
      </w:numPr>
      <w:spacing w:before="240"/>
      <w:outlineLvl w:val="1"/>
    </w:pPr>
    <w:rPr>
      <w:rFonts w:eastAsiaTheme="majorEastAsia" w:cstheme="majorBidi"/>
      <w:b/>
      <w:bCs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8A452C"/>
    <w:rPr>
      <w:rFonts w:eastAsiaTheme="majorEastAsia" w:cstheme="majorBidi"/>
      <w:b/>
      <w:bCs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8A452C"/>
    <w:rPr>
      <w:rFonts w:eastAsiaTheme="majorEastAsia" w:cstheme="majorBidi"/>
      <w:b/>
      <w:bCs/>
      <w:szCs w:val="26"/>
    </w:rPr>
  </w:style>
  <w:style w:type="paragraph" w:styleId="Subttulo">
    <w:name w:val="Subtitle"/>
    <w:basedOn w:val="Ttulo1"/>
    <w:next w:val="Normal"/>
    <w:link w:val="SubttuloChar"/>
    <w:autoRedefine/>
    <w:uiPriority w:val="11"/>
    <w:qFormat/>
    <w:rsid w:val="005E4B65"/>
    <w:pPr>
      <w:numPr>
        <w:numId w:val="3"/>
      </w:numPr>
    </w:pPr>
    <w:rPr>
      <w:b w:val="0"/>
      <w:iCs/>
      <w:color w:val="000000" w:themeColor="text1"/>
      <w:spacing w:val="-14"/>
      <w:szCs w:val="24"/>
    </w:rPr>
  </w:style>
  <w:style w:type="character" w:customStyle="1" w:styleId="SubttuloChar">
    <w:name w:val="Subtítulo Char"/>
    <w:basedOn w:val="Fontepargpadro"/>
    <w:link w:val="Subttulo"/>
    <w:uiPriority w:val="11"/>
    <w:rsid w:val="005E4B65"/>
    <w:rPr>
      <w:rFonts w:eastAsiaTheme="majorEastAsia" w:cstheme="majorBidi"/>
      <w:bCs/>
      <w:iCs/>
      <w:color w:val="000000" w:themeColor="text1"/>
      <w:spacing w:val="-1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9300B8"/>
    <w:pPr>
      <w:tabs>
        <w:tab w:val="center" w:pos="4252"/>
        <w:tab w:val="right" w:pos="8504"/>
      </w:tabs>
      <w:spacing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300B8"/>
  </w:style>
  <w:style w:type="paragraph" w:styleId="Rodap">
    <w:name w:val="footer"/>
    <w:basedOn w:val="Normal"/>
    <w:link w:val="RodapChar"/>
    <w:uiPriority w:val="99"/>
    <w:unhideWhenUsed/>
    <w:rsid w:val="009300B8"/>
    <w:pPr>
      <w:tabs>
        <w:tab w:val="center" w:pos="4252"/>
        <w:tab w:val="right" w:pos="8504"/>
      </w:tabs>
      <w:spacing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300B8"/>
  </w:style>
  <w:style w:type="paragraph" w:styleId="Legenda">
    <w:name w:val="caption"/>
    <w:basedOn w:val="Normal"/>
    <w:next w:val="Normal"/>
    <w:uiPriority w:val="35"/>
    <w:semiHidden/>
    <w:unhideWhenUsed/>
    <w:qFormat/>
    <w:rsid w:val="00E76DC5"/>
    <w:pPr>
      <w:spacing w:after="200" w:line="240" w:lineRule="auto"/>
    </w:pPr>
    <w:rPr>
      <w:b/>
      <w:bCs/>
      <w:color w:val="4F81BD" w:themeColor="accent1"/>
      <w:sz w:val="18"/>
      <w:szCs w:val="18"/>
    </w:rPr>
  </w:style>
  <w:style w:type="character" w:styleId="Hyperlink">
    <w:name w:val="Hyperlink"/>
    <w:basedOn w:val="Fontepargpadro"/>
    <w:uiPriority w:val="99"/>
    <w:unhideWhenUsed/>
    <w:rsid w:val="003B54D2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3745C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3745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7571B4"/>
    <w:pPr>
      <w:ind w:left="720"/>
      <w:contextualSpacing/>
    </w:pPr>
  </w:style>
  <w:style w:type="table" w:styleId="Tabelacomgrade">
    <w:name w:val="Table Grid"/>
    <w:basedOn w:val="Tabelanormal"/>
    <w:uiPriority w:val="59"/>
    <w:rsid w:val="00425253"/>
    <w:pPr>
      <w:spacing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linkVisitado">
    <w:name w:val="FollowedHyperlink"/>
    <w:basedOn w:val="Fontepargpadro"/>
    <w:uiPriority w:val="99"/>
    <w:semiHidden/>
    <w:unhideWhenUsed/>
    <w:rsid w:val="00A75110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mma.gov.br/estruturas/174/_arquivos/174_05122008104832.pdf" TargetMode="External"/><Relationship Id="rId5" Type="http://schemas.openxmlformats.org/officeDocument/2006/relationships/webSettings" Target="webSettings.xml"/><Relationship Id="rId10" Type="http://schemas.openxmlformats.org/officeDocument/2006/relationships/chart" Target="charts/chart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Pasta1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1"/>
  <c:lang val="pt-BR"/>
  <c:chart>
    <c:title>
      <c:tx>
        <c:rich>
          <a:bodyPr/>
          <a:lstStyle/>
          <a:p>
            <a:pPr>
              <a:defRPr sz="1200">
                <a:latin typeface="Times New Roman" pitchFamily="18" charset="0"/>
                <a:cs typeface="Times New Roman" pitchFamily="18" charset="0"/>
              </a:defRPr>
            </a:pPr>
            <a:r>
              <a:rPr lang="pt-BR" sz="1100" b="1">
                <a:latin typeface="Times New Roman" pitchFamily="18" charset="0"/>
                <a:cs typeface="Times New Roman" pitchFamily="18" charset="0"/>
              </a:rPr>
              <a:t>Gráfico 1 - </a:t>
            </a:r>
            <a:r>
              <a:rPr lang="pt-BR" sz="1100" b="0">
                <a:latin typeface="Times New Roman" pitchFamily="18" charset="0"/>
                <a:cs typeface="Times New Roman" pitchFamily="18" charset="0"/>
              </a:rPr>
              <a:t>Medidas</a:t>
            </a:r>
            <a:r>
              <a:rPr lang="pt-BR" sz="1100" b="0" baseline="0">
                <a:latin typeface="Times New Roman" pitchFamily="18" charset="0"/>
                <a:cs typeface="Times New Roman" pitchFamily="18" charset="0"/>
              </a:rPr>
              <a:t> conquiológicas (cm) dos exemplares encontrados na Cidade de Caraguatatuba (SP).</a:t>
            </a:r>
            <a:endParaRPr lang="pt-BR" sz="1100" b="0">
              <a:latin typeface="Times New Roman" pitchFamily="18" charset="0"/>
              <a:cs typeface="Times New Roman" pitchFamily="18" charset="0"/>
            </a:endParaRPr>
          </a:p>
        </c:rich>
      </c:tx>
      <c:layout>
        <c:manualLayout>
          <c:xMode val="edge"/>
          <c:yMode val="edge"/>
          <c:x val="5.1413859725867601E-2"/>
          <c:y val="0"/>
        </c:manualLayout>
      </c:layout>
    </c:title>
    <c:plotArea>
      <c:layout/>
      <c:barChart>
        <c:barDir val="bar"/>
        <c:grouping val="clustered"/>
        <c:ser>
          <c:idx val="0"/>
          <c:order val="0"/>
          <c:tx>
            <c:strRef>
              <c:f>Plan1!$B$1</c:f>
              <c:strCache>
                <c:ptCount val="1"/>
                <c:pt idx="0">
                  <c:v>Espécimes vivos</c:v>
                </c:pt>
              </c:strCache>
            </c:strRef>
          </c:tx>
          <c:cat>
            <c:strRef>
              <c:f>Plan1!$A$2:$A$7</c:f>
              <c:strCache>
                <c:ptCount val="6"/>
                <c:pt idx="0">
                  <c:v>0 l - 1,8</c:v>
                </c:pt>
                <c:pt idx="1">
                  <c:v>1,8 l - 3,6</c:v>
                </c:pt>
                <c:pt idx="2">
                  <c:v>3,6 l - 5,4</c:v>
                </c:pt>
                <c:pt idx="3">
                  <c:v>5,4 l - 7,2</c:v>
                </c:pt>
                <c:pt idx="4">
                  <c:v>7,2 l - 9</c:v>
                </c:pt>
                <c:pt idx="5">
                  <c:v>9 l - 10,8</c:v>
                </c:pt>
              </c:strCache>
            </c:strRef>
          </c:cat>
          <c:val>
            <c:numRef>
              <c:f>Plan1!$B$2:$B$7</c:f>
              <c:numCache>
                <c:formatCode>General</c:formatCode>
                <c:ptCount val="6"/>
                <c:pt idx="0">
                  <c:v>0</c:v>
                </c:pt>
                <c:pt idx="1">
                  <c:v>7</c:v>
                </c:pt>
                <c:pt idx="2">
                  <c:v>20</c:v>
                </c:pt>
                <c:pt idx="3">
                  <c:v>2</c:v>
                </c:pt>
                <c:pt idx="4">
                  <c:v>7</c:v>
                </c:pt>
                <c:pt idx="5">
                  <c:v>1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0-D359-4B3A-BE9D-702EC36514A8}"/>
            </c:ext>
          </c:extLst>
        </c:ser>
        <c:ser>
          <c:idx val="1"/>
          <c:order val="1"/>
          <c:tx>
            <c:strRef>
              <c:f>Plan1!$C$1</c:f>
              <c:strCache>
                <c:ptCount val="1"/>
                <c:pt idx="0">
                  <c:v>Espécimes mortos </c:v>
                </c:pt>
              </c:strCache>
            </c:strRef>
          </c:tx>
          <c:cat>
            <c:strRef>
              <c:f>Plan1!$A$2:$A$7</c:f>
              <c:strCache>
                <c:ptCount val="6"/>
                <c:pt idx="0">
                  <c:v>0 l - 1,8</c:v>
                </c:pt>
                <c:pt idx="1">
                  <c:v>1,8 l - 3,6</c:v>
                </c:pt>
                <c:pt idx="2">
                  <c:v>3,6 l - 5,4</c:v>
                </c:pt>
                <c:pt idx="3">
                  <c:v>5,4 l - 7,2</c:v>
                </c:pt>
                <c:pt idx="4">
                  <c:v>7,2 l - 9</c:v>
                </c:pt>
                <c:pt idx="5">
                  <c:v>9 l - 10,8</c:v>
                </c:pt>
              </c:strCache>
            </c:strRef>
          </c:cat>
          <c:val>
            <c:numRef>
              <c:f>Plan1!$C$2:$C$7</c:f>
              <c:numCache>
                <c:formatCode>General</c:formatCode>
                <c:ptCount val="6"/>
                <c:pt idx="0">
                  <c:v>0</c:v>
                </c:pt>
                <c:pt idx="1">
                  <c:v>5</c:v>
                </c:pt>
                <c:pt idx="2">
                  <c:v>7</c:v>
                </c:pt>
                <c:pt idx="3">
                  <c:v>12</c:v>
                </c:pt>
                <c:pt idx="4">
                  <c:v>5</c:v>
                </c:pt>
                <c:pt idx="5">
                  <c:v>4</c:v>
                </c:pt>
              </c:numCache>
            </c:numRef>
          </c:val>
          <c:extLst xmlns:c16r2="http://schemas.microsoft.com/office/drawing/2015/06/chart">
            <c:ext xmlns:c16="http://schemas.microsoft.com/office/drawing/2014/chart" uri="{C3380CC4-5D6E-409C-BE32-E72D297353CC}">
              <c16:uniqueId val="{00000001-D359-4B3A-BE9D-702EC36514A8}"/>
            </c:ext>
          </c:extLst>
        </c:ser>
        <c:axId val="61708160"/>
        <c:axId val="93308032"/>
      </c:barChart>
      <c:catAx>
        <c:axId val="61708160"/>
        <c:scaling>
          <c:orientation val="minMax"/>
        </c:scaling>
        <c:axPos val="l"/>
        <c:title>
          <c:tx>
            <c:rich>
              <a:bodyPr rot="-5400000" vert="horz"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t-BR">
                    <a:latin typeface="Times New Roman" pitchFamily="18" charset="0"/>
                    <a:cs typeface="Times New Roman" pitchFamily="18" charset="0"/>
                  </a:rPr>
                  <a:t>Clases</a:t>
                </a:r>
                <a:r>
                  <a:rPr lang="pt-BR" baseline="0">
                    <a:latin typeface="Times New Roman" pitchFamily="18" charset="0"/>
                    <a:cs typeface="Times New Roman" pitchFamily="18" charset="0"/>
                  </a:rPr>
                  <a:t> de tamanho em Cm</a:t>
                </a:r>
                <a:endParaRPr lang="pt-BR">
                  <a:latin typeface="Times New Roman" pitchFamily="18" charset="0"/>
                  <a:cs typeface="Times New Roman" pitchFamily="18" charset="0"/>
                </a:endParaRPr>
              </a:p>
            </c:rich>
          </c:tx>
        </c:title>
        <c:numFmt formatCode="General" sourceLinked="0"/>
        <c:tickLblPos val="nextTo"/>
        <c:crossAx val="93308032"/>
        <c:crosses val="autoZero"/>
        <c:auto val="1"/>
        <c:lblAlgn val="ctr"/>
        <c:lblOffset val="100"/>
      </c:catAx>
      <c:valAx>
        <c:axId val="93308032"/>
        <c:scaling>
          <c:orientation val="minMax"/>
        </c:scaling>
        <c:axPos val="b"/>
        <c:majorGridlines/>
        <c:title>
          <c:tx>
            <c:rich>
              <a:bodyPr/>
              <a:lstStyle/>
              <a:p>
                <a:pPr>
                  <a:defRPr>
                    <a:latin typeface="Times New Roman" pitchFamily="18" charset="0"/>
                    <a:cs typeface="Times New Roman" pitchFamily="18" charset="0"/>
                  </a:defRPr>
                </a:pPr>
                <a:r>
                  <a:rPr lang="pt-BR">
                    <a:latin typeface="Times New Roman" pitchFamily="18" charset="0"/>
                    <a:cs typeface="Times New Roman" pitchFamily="18" charset="0"/>
                  </a:rPr>
                  <a:t>Número  de exemplares encontrados </a:t>
                </a:r>
              </a:p>
            </c:rich>
          </c:tx>
        </c:title>
        <c:numFmt formatCode="General" sourceLinked="1"/>
        <c:tickLblPos val="nextTo"/>
        <c:crossAx val="61708160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71329308836395455"/>
          <c:y val="0.44162984835228952"/>
          <c:w val="0.25892913385826782"/>
          <c:h val="0.16743438320210055"/>
        </c:manualLayout>
      </c:layout>
      <c:txPr>
        <a:bodyPr/>
        <a:lstStyle/>
        <a:p>
          <a:pPr>
            <a:defRPr>
              <a:latin typeface="Times New Roman" pitchFamily="18" charset="0"/>
              <a:cs typeface="Times New Roman" pitchFamily="18" charset="0"/>
            </a:defRPr>
          </a:pPr>
          <a:endParaRPr lang="pt-BR"/>
        </a:p>
      </c:txPr>
    </c:legend>
    <c:plotVisOnly val="1"/>
    <c:dispBlanksAs val="gap"/>
  </c:chart>
  <c:spPr>
    <a:ln>
      <a:solidFill>
        <a:schemeClr val="bg1"/>
      </a:solidFill>
    </a:ln>
  </c:spPr>
  <c:externalData r:id="rId1"/>
</c:chartSpace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E71DA7-EE80-4FFC-80D6-50E37113B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1414</Words>
  <Characters>7636</Characters>
  <Application>Microsoft Office Word</Application>
  <DocSecurity>0</DocSecurity>
  <Lines>63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DAI</Company>
  <LinksUpToDate>false</LinksUpToDate>
  <CharactersWithSpaces>9032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DAIANA</dc:creator>
  <cp:lastModifiedBy>Samara</cp:lastModifiedBy>
  <cp:revision>15</cp:revision>
  <cp:lastPrinted>2017-08-28T02:51:00Z</cp:lastPrinted>
  <dcterms:created xsi:type="dcterms:W3CDTF">2017-09-05T13:01:00Z</dcterms:created>
  <dcterms:modified xsi:type="dcterms:W3CDTF">2017-09-05T13:11:00Z</dcterms:modified>
</cp:coreProperties>
</file>